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5C" w:rsidRDefault="006353F1">
      <w:pPr>
        <w:ind w:left="567" w:hanging="567"/>
        <w:jc w:val="both"/>
        <w:rPr>
          <w:b/>
          <w:sz w:val="24"/>
        </w:rPr>
      </w:pPr>
      <w:r>
        <w:rPr>
          <w:b/>
          <w:noProof/>
          <w:sz w:val="24"/>
          <w:lang w:eastAsia="en-GB"/>
        </w:rPr>
        <mc:AlternateContent>
          <mc:Choice Requires="wps">
            <w:drawing>
              <wp:anchor distT="0" distB="0" distL="114300" distR="114300" simplePos="0" relativeHeight="251657216" behindDoc="0" locked="0" layoutInCell="1" allowOverlap="1" wp14:anchorId="61026718" wp14:editId="3439ED4B">
                <wp:simplePos x="0" y="0"/>
                <wp:positionH relativeFrom="column">
                  <wp:posOffset>-114935</wp:posOffset>
                </wp:positionH>
                <wp:positionV relativeFrom="paragraph">
                  <wp:posOffset>182245</wp:posOffset>
                </wp:positionV>
                <wp:extent cx="5857875" cy="878205"/>
                <wp:effectExtent l="0" t="0" r="2857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878205"/>
                        </a:xfrm>
                        <a:prstGeom prst="rect">
                          <a:avLst/>
                        </a:prstGeom>
                        <a:solidFill>
                          <a:srgbClr val="FFFFFF"/>
                        </a:solidFill>
                        <a:ln w="9525">
                          <a:solidFill>
                            <a:srgbClr val="000000"/>
                          </a:solidFill>
                          <a:miter lim="800000"/>
                          <a:headEnd/>
                          <a:tailEnd/>
                        </a:ln>
                      </wps:spPr>
                      <wps:txbx>
                        <w:txbxContent>
                          <w:p w:rsidR="001C74B7" w:rsidRDefault="001C74B7" w:rsidP="002E290E">
                            <w:pPr>
                              <w:numPr>
                                <w:ilvl w:val="0"/>
                                <w:numId w:val="6"/>
                              </w:numPr>
                              <w:tabs>
                                <w:tab w:val="clear" w:pos="360"/>
                              </w:tabs>
                              <w:ind w:left="567" w:hanging="567"/>
                              <w:jc w:val="both"/>
                              <w:rPr>
                                <w:b/>
                                <w:sz w:val="24"/>
                                <w:u w:val="single"/>
                              </w:rPr>
                            </w:pPr>
                            <w:r w:rsidRPr="002E290E">
                              <w:rPr>
                                <w:b/>
                                <w:sz w:val="24"/>
                                <w:u w:val="single"/>
                              </w:rPr>
                              <w:t>PURPOSE OF REPORT</w:t>
                            </w:r>
                          </w:p>
                          <w:p w:rsidR="005C40E6" w:rsidRDefault="005C40E6" w:rsidP="005C40E6">
                            <w:pPr>
                              <w:ind w:left="567"/>
                              <w:jc w:val="both"/>
                              <w:rPr>
                                <w:b/>
                                <w:sz w:val="24"/>
                                <w:u w:val="single"/>
                              </w:rPr>
                            </w:pPr>
                          </w:p>
                          <w:p w:rsidR="00294134" w:rsidRPr="00294134" w:rsidRDefault="00294134" w:rsidP="00294134">
                            <w:pPr>
                              <w:spacing w:afterLines="50" w:after="120"/>
                              <w:ind w:left="567" w:hanging="567"/>
                              <w:jc w:val="both"/>
                              <w:rPr>
                                <w:sz w:val="24"/>
                                <w:u w:val="single"/>
                              </w:rPr>
                            </w:pPr>
                            <w:r w:rsidRPr="00294134">
                              <w:rPr>
                                <w:sz w:val="24"/>
                              </w:rPr>
                              <w:t>1.1</w:t>
                            </w:r>
                            <w:r w:rsidRPr="00294134">
                              <w:rPr>
                                <w:sz w:val="24"/>
                              </w:rPr>
                              <w:tab/>
                            </w:r>
                            <w:r w:rsidRPr="00294134">
                              <w:rPr>
                                <w:sz w:val="24"/>
                              </w:rPr>
                              <w:t>To update members on the Budget 2015/16</w:t>
                            </w:r>
                          </w:p>
                          <w:p w:rsidR="00294134" w:rsidRPr="00294134" w:rsidRDefault="00294134" w:rsidP="00294134">
                            <w:pPr>
                              <w:spacing w:afterLines="50" w:after="120"/>
                              <w:ind w:left="567" w:hanging="567"/>
                              <w:jc w:val="both"/>
                              <w:rPr>
                                <w:sz w:val="24"/>
                              </w:rPr>
                            </w:pPr>
                            <w:r w:rsidRPr="00294134">
                              <w:rPr>
                                <w:sz w:val="24"/>
                              </w:rPr>
                              <w:t>1.2</w:t>
                            </w:r>
                            <w:r w:rsidRPr="00294134">
                              <w:rPr>
                                <w:sz w:val="24"/>
                              </w:rPr>
                              <w:tab/>
                            </w:r>
                            <w:r w:rsidRPr="00294134">
                              <w:rPr>
                                <w:sz w:val="24"/>
                              </w:rPr>
                              <w:t>New Capacity Budget 2016/2017</w:t>
                            </w:r>
                          </w:p>
                          <w:p w:rsidR="00294134" w:rsidRDefault="00294134" w:rsidP="005C40E6">
                            <w:pPr>
                              <w:ind w:left="567"/>
                              <w:jc w:val="both"/>
                              <w:rPr>
                                <w:b/>
                                <w:sz w:val="24"/>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5pt;margin-top:14.35pt;width:461.25pt;height:6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">
                <v:textbox style="mso-fit-shape-to-text:t">
                  <w:txbxContent>
                    <w:p w:rsidR="001C74B7" w:rsidRDefault="001C74B7" w:rsidP="002E290E">
                      <w:pPr>
                        <w:numPr>
                          <w:ilvl w:val="0"/>
                          <w:numId w:val="6"/>
                        </w:numPr>
                        <w:tabs>
                          <w:tab w:val="clear" w:pos="360"/>
                        </w:tabs>
                        <w:ind w:left="567" w:hanging="567"/>
                        <w:jc w:val="both"/>
                        <w:rPr>
                          <w:b/>
                          <w:sz w:val="24"/>
                          <w:u w:val="single"/>
                        </w:rPr>
                      </w:pPr>
                      <w:r w:rsidRPr="002E290E">
                        <w:rPr>
                          <w:b/>
                          <w:sz w:val="24"/>
                          <w:u w:val="single"/>
                        </w:rPr>
                        <w:t>PURPOSE OF REPORT</w:t>
                      </w:r>
                    </w:p>
                    <w:p w:rsidR="005C40E6" w:rsidRDefault="005C40E6" w:rsidP="005C40E6">
                      <w:pPr>
                        <w:ind w:left="567"/>
                        <w:jc w:val="both"/>
                        <w:rPr>
                          <w:b/>
                          <w:sz w:val="24"/>
                          <w:u w:val="single"/>
                        </w:rPr>
                      </w:pPr>
                    </w:p>
                    <w:p w:rsidR="00294134" w:rsidRPr="00294134" w:rsidRDefault="00294134" w:rsidP="00294134">
                      <w:pPr>
                        <w:spacing w:afterLines="50" w:after="120"/>
                        <w:ind w:left="567" w:hanging="567"/>
                        <w:jc w:val="both"/>
                        <w:rPr>
                          <w:sz w:val="24"/>
                          <w:u w:val="single"/>
                        </w:rPr>
                      </w:pPr>
                      <w:r w:rsidRPr="00294134">
                        <w:rPr>
                          <w:sz w:val="24"/>
                        </w:rPr>
                        <w:t>1.1</w:t>
                      </w:r>
                      <w:r w:rsidRPr="00294134">
                        <w:rPr>
                          <w:sz w:val="24"/>
                        </w:rPr>
                        <w:tab/>
                      </w:r>
                      <w:r w:rsidRPr="00294134">
                        <w:rPr>
                          <w:sz w:val="24"/>
                        </w:rPr>
                        <w:t>To update members on the Budget 2015/16</w:t>
                      </w:r>
                    </w:p>
                    <w:p w:rsidR="00294134" w:rsidRPr="00294134" w:rsidRDefault="00294134" w:rsidP="00294134">
                      <w:pPr>
                        <w:spacing w:afterLines="50" w:after="120"/>
                        <w:ind w:left="567" w:hanging="567"/>
                        <w:jc w:val="both"/>
                        <w:rPr>
                          <w:sz w:val="24"/>
                        </w:rPr>
                      </w:pPr>
                      <w:r w:rsidRPr="00294134">
                        <w:rPr>
                          <w:sz w:val="24"/>
                        </w:rPr>
                        <w:t>1.2</w:t>
                      </w:r>
                      <w:r w:rsidRPr="00294134">
                        <w:rPr>
                          <w:sz w:val="24"/>
                        </w:rPr>
                        <w:tab/>
                      </w:r>
                      <w:r w:rsidRPr="00294134">
                        <w:rPr>
                          <w:sz w:val="24"/>
                        </w:rPr>
                        <w:t>New Capacity Budget 2016/2017</w:t>
                      </w:r>
                    </w:p>
                    <w:p w:rsidR="00294134" w:rsidRDefault="00294134" w:rsidP="005C40E6">
                      <w:pPr>
                        <w:ind w:left="567"/>
                        <w:jc w:val="both"/>
                        <w:rPr>
                          <w:b/>
                          <w:sz w:val="24"/>
                          <w:u w:val="single"/>
                        </w:rPr>
                      </w:pPr>
                    </w:p>
                  </w:txbxContent>
                </v:textbox>
                <w10:wrap type="square"/>
              </v:shape>
            </w:pict>
          </mc:Fallback>
        </mc:AlternateContent>
      </w:r>
      <w:r w:rsidR="00747E5C">
        <w:rPr>
          <w:b/>
          <w:sz w:val="24"/>
        </w:rPr>
        <w:tab/>
      </w:r>
    </w:p>
    <w:p w:rsidR="00747E5C" w:rsidRDefault="00747E5C">
      <w:pPr>
        <w:ind w:left="567" w:hanging="567"/>
        <w:jc w:val="both"/>
        <w:rPr>
          <w:b/>
          <w:sz w:val="24"/>
          <w:u w:val="single"/>
        </w:rPr>
      </w:pPr>
    </w:p>
    <w:p w:rsidR="00747E5C" w:rsidRPr="002E290E" w:rsidRDefault="00747E5C" w:rsidP="002E290E">
      <w:pPr>
        <w:numPr>
          <w:ilvl w:val="0"/>
          <w:numId w:val="5"/>
        </w:numPr>
        <w:tabs>
          <w:tab w:val="clear" w:pos="360"/>
        </w:tabs>
        <w:ind w:left="567" w:hanging="567"/>
        <w:jc w:val="both"/>
        <w:rPr>
          <w:sz w:val="24"/>
          <w:u w:val="single"/>
        </w:rPr>
      </w:pPr>
      <w:r w:rsidRPr="002E290E">
        <w:rPr>
          <w:b/>
          <w:sz w:val="24"/>
          <w:u w:val="single"/>
        </w:rPr>
        <w:t>INFORMATIO</w:t>
      </w:r>
      <w:r w:rsidR="00A02F74" w:rsidRPr="002E290E">
        <w:rPr>
          <w:b/>
          <w:sz w:val="24"/>
          <w:u w:val="single"/>
        </w:rPr>
        <w:t>N</w:t>
      </w:r>
    </w:p>
    <w:p w:rsidR="00D13152" w:rsidRDefault="00D13152" w:rsidP="002E290E">
      <w:pPr>
        <w:jc w:val="both"/>
        <w:rPr>
          <w:sz w:val="24"/>
          <w:u w:val="single"/>
        </w:rPr>
      </w:pPr>
    </w:p>
    <w:p w:rsidR="00294134" w:rsidRPr="00294134" w:rsidRDefault="00554B1C" w:rsidP="00554B1C">
      <w:pPr>
        <w:ind w:left="567"/>
        <w:jc w:val="both"/>
        <w:rPr>
          <w:sz w:val="24"/>
          <w:u w:val="single"/>
        </w:rPr>
      </w:pPr>
      <w:r>
        <w:rPr>
          <w:b/>
          <w:sz w:val="24"/>
        </w:rPr>
        <w:t xml:space="preserve">A - </w:t>
      </w:r>
      <w:r w:rsidR="00294134" w:rsidRPr="00294134">
        <w:rPr>
          <w:b/>
          <w:sz w:val="24"/>
        </w:rPr>
        <w:t>Update report</w:t>
      </w:r>
    </w:p>
    <w:p w:rsidR="00294134" w:rsidRDefault="00294134" w:rsidP="00294134">
      <w:pPr>
        <w:pStyle w:val="Default"/>
        <w:rPr>
          <w:rFonts w:cs="Times New Roman"/>
          <w:color w:val="auto"/>
          <w:szCs w:val="20"/>
          <w:lang w:eastAsia="en-US"/>
        </w:rPr>
      </w:pPr>
      <w:bookmarkStart w:id="0" w:name="_GoBack"/>
      <w:bookmarkEnd w:id="0"/>
    </w:p>
    <w:p w:rsidR="00294134" w:rsidRDefault="00294134" w:rsidP="00294134">
      <w:pPr>
        <w:pStyle w:val="Default"/>
        <w:jc w:val="both"/>
      </w:pPr>
      <w:r>
        <w:t xml:space="preserve">2.1   </w:t>
      </w:r>
      <w:r w:rsidRPr="00F61FB9">
        <w:t xml:space="preserve">The award made </w:t>
      </w:r>
      <w:r>
        <w:t xml:space="preserve">for the </w:t>
      </w:r>
      <w:r>
        <w:t xml:space="preserve">year </w:t>
      </w:r>
      <w:r>
        <w:t>2015/16 was for £750,000.</w:t>
      </w:r>
    </w:p>
    <w:p w:rsidR="00294134" w:rsidRDefault="00294134" w:rsidP="00294134">
      <w:pPr>
        <w:pStyle w:val="Default"/>
      </w:pPr>
    </w:p>
    <w:p w:rsidR="00294134" w:rsidRDefault="00294134" w:rsidP="00294134">
      <w:pPr>
        <w:pStyle w:val="Default"/>
        <w:ind w:left="567" w:right="-2" w:hanging="567"/>
        <w:jc w:val="both"/>
      </w:pPr>
      <w:r>
        <w:t>2.2</w:t>
      </w:r>
      <w:r>
        <w:tab/>
        <w:t xml:space="preserve">We have now had confirmation that the award for 2016/17 is £250,000. This is covered below in the second part of the report (B). This means a substantial </w:t>
      </w:r>
      <w:r>
        <w:t>amount of activities</w:t>
      </w:r>
      <w:r>
        <w:t xml:space="preserve"> will need to be cut back. </w:t>
      </w:r>
    </w:p>
    <w:p w:rsidR="00294134" w:rsidRDefault="00294134" w:rsidP="00294134">
      <w:pPr>
        <w:pStyle w:val="Default"/>
        <w:ind w:left="567"/>
        <w:jc w:val="both"/>
      </w:pPr>
    </w:p>
    <w:p w:rsidR="00294134" w:rsidRDefault="00294134" w:rsidP="00294134">
      <w:pPr>
        <w:pStyle w:val="Default"/>
        <w:ind w:left="567"/>
        <w:jc w:val="both"/>
      </w:pPr>
      <w:r w:rsidRPr="00F61FB9">
        <w:t>The</w:t>
      </w:r>
      <w:r>
        <w:t xml:space="preserve"> budget below is for the current position (table 1) and for 2016/17 until June next year discussed in more detail in part B of this paper. </w:t>
      </w:r>
    </w:p>
    <w:p w:rsidR="00294134" w:rsidRDefault="00294134" w:rsidP="00294134">
      <w:pPr>
        <w:ind w:left="567" w:hanging="567"/>
        <w:jc w:val="both"/>
        <w:rPr>
          <w:sz w:val="24"/>
        </w:rPr>
      </w:pPr>
    </w:p>
    <w:p w:rsidR="00294134" w:rsidRPr="003D0C4B" w:rsidRDefault="00294134" w:rsidP="00294134">
      <w:pPr>
        <w:ind w:left="567" w:hanging="567"/>
        <w:jc w:val="both"/>
        <w:rPr>
          <w:b/>
          <w:sz w:val="24"/>
        </w:rPr>
      </w:pPr>
      <w:r w:rsidRPr="003D0C4B">
        <w:rPr>
          <w:b/>
          <w:sz w:val="24"/>
        </w:rPr>
        <w:tab/>
        <w:t>Table 1 –</w:t>
      </w:r>
      <w:r>
        <w:rPr>
          <w:b/>
          <w:sz w:val="24"/>
        </w:rPr>
        <w:t xml:space="preserve"> Capacity Fund Budget</w:t>
      </w:r>
      <w:r w:rsidRPr="003D0C4B">
        <w:rPr>
          <w:b/>
          <w:sz w:val="24"/>
        </w:rPr>
        <w:t xml:space="preserve"> Requirement 2015/16 (£000s)</w:t>
      </w:r>
      <w:r>
        <w:rPr>
          <w:b/>
          <w:sz w:val="24"/>
        </w:rPr>
        <w:t xml:space="preserve"> and 2016/17</w:t>
      </w:r>
    </w:p>
    <w:p w:rsidR="00294134" w:rsidRDefault="00294134" w:rsidP="00294134">
      <w:pPr>
        <w:ind w:left="567" w:hanging="567"/>
        <w:jc w:val="both"/>
        <w:rPr>
          <w:sz w:val="24"/>
        </w:rPr>
      </w:pPr>
    </w:p>
    <w:tbl>
      <w:tblPr>
        <w:tblStyle w:val="TableGrid"/>
        <w:tblW w:w="8861" w:type="dxa"/>
        <w:tblInd w:w="567" w:type="dxa"/>
        <w:tblLook w:val="04A0" w:firstRow="1" w:lastRow="0" w:firstColumn="1" w:lastColumn="0" w:noHBand="0" w:noVBand="1"/>
      </w:tblPr>
      <w:tblGrid>
        <w:gridCol w:w="1931"/>
        <w:gridCol w:w="8"/>
        <w:gridCol w:w="3778"/>
        <w:gridCol w:w="1767"/>
        <w:gridCol w:w="1377"/>
      </w:tblGrid>
      <w:tr w:rsidR="00294134" w:rsidRPr="00D9356B" w:rsidTr="006B0D6E">
        <w:tc>
          <w:tcPr>
            <w:tcW w:w="1931" w:type="dxa"/>
          </w:tcPr>
          <w:p w:rsidR="00294134" w:rsidRPr="00D9356B" w:rsidRDefault="00294134" w:rsidP="006B0D6E">
            <w:pPr>
              <w:jc w:val="both"/>
              <w:rPr>
                <w:b/>
                <w:sz w:val="24"/>
              </w:rPr>
            </w:pPr>
            <w:r w:rsidRPr="00D9356B">
              <w:rPr>
                <w:b/>
                <w:sz w:val="24"/>
              </w:rPr>
              <w:t>Item</w:t>
            </w:r>
          </w:p>
        </w:tc>
        <w:tc>
          <w:tcPr>
            <w:tcW w:w="3786" w:type="dxa"/>
            <w:gridSpan w:val="2"/>
          </w:tcPr>
          <w:p w:rsidR="00294134" w:rsidRPr="00D9356B" w:rsidRDefault="00294134" w:rsidP="006B0D6E">
            <w:pPr>
              <w:jc w:val="both"/>
              <w:rPr>
                <w:b/>
                <w:sz w:val="24"/>
              </w:rPr>
            </w:pPr>
            <w:r w:rsidRPr="00D9356B">
              <w:rPr>
                <w:b/>
                <w:sz w:val="24"/>
              </w:rPr>
              <w:t>Descriptor</w:t>
            </w:r>
          </w:p>
        </w:tc>
        <w:tc>
          <w:tcPr>
            <w:tcW w:w="1767" w:type="dxa"/>
          </w:tcPr>
          <w:p w:rsidR="00294134" w:rsidRPr="00D9356B" w:rsidRDefault="00294134" w:rsidP="006B0D6E">
            <w:pPr>
              <w:jc w:val="center"/>
              <w:rPr>
                <w:b/>
                <w:sz w:val="24"/>
              </w:rPr>
            </w:pPr>
            <w:r>
              <w:rPr>
                <w:b/>
                <w:sz w:val="24"/>
              </w:rPr>
              <w:t>Spent end of June and committed</w:t>
            </w:r>
          </w:p>
        </w:tc>
        <w:tc>
          <w:tcPr>
            <w:tcW w:w="1377" w:type="dxa"/>
          </w:tcPr>
          <w:p w:rsidR="00294134" w:rsidRDefault="00294134" w:rsidP="006B0D6E">
            <w:pPr>
              <w:jc w:val="center"/>
              <w:rPr>
                <w:b/>
                <w:sz w:val="24"/>
              </w:rPr>
            </w:pPr>
            <w:r>
              <w:rPr>
                <w:b/>
                <w:sz w:val="24"/>
              </w:rPr>
              <w:t>Future spend July 2016/June 2017</w:t>
            </w:r>
          </w:p>
          <w:p w:rsidR="00294134" w:rsidRDefault="00294134" w:rsidP="006B0D6E">
            <w:pPr>
              <w:jc w:val="center"/>
              <w:rPr>
                <w:b/>
                <w:sz w:val="24"/>
              </w:rPr>
            </w:pPr>
          </w:p>
        </w:tc>
      </w:tr>
      <w:tr w:rsidR="00294134" w:rsidTr="006B0D6E">
        <w:trPr>
          <w:trHeight w:val="1666"/>
        </w:trPr>
        <w:tc>
          <w:tcPr>
            <w:tcW w:w="1931" w:type="dxa"/>
            <w:tcBorders>
              <w:bottom w:val="single" w:sz="4" w:space="0" w:color="auto"/>
            </w:tcBorders>
          </w:tcPr>
          <w:p w:rsidR="00294134" w:rsidRPr="00D9356B" w:rsidRDefault="00294134" w:rsidP="006B0D6E">
            <w:pPr>
              <w:rPr>
                <w:sz w:val="24"/>
              </w:rPr>
            </w:pPr>
            <w:r>
              <w:rPr>
                <w:sz w:val="24"/>
              </w:rPr>
              <w:t>Staff Capacity &amp; Project Officer</w:t>
            </w:r>
          </w:p>
        </w:tc>
        <w:tc>
          <w:tcPr>
            <w:tcW w:w="3786" w:type="dxa"/>
            <w:gridSpan w:val="2"/>
            <w:tcBorders>
              <w:bottom w:val="single" w:sz="4" w:space="0" w:color="auto"/>
            </w:tcBorders>
          </w:tcPr>
          <w:p w:rsidR="00294134" w:rsidRPr="00D9356B" w:rsidRDefault="00294134" w:rsidP="00294134">
            <w:pPr>
              <w:jc w:val="both"/>
              <w:rPr>
                <w:sz w:val="24"/>
              </w:rPr>
            </w:pPr>
            <w:r>
              <w:rPr>
                <w:sz w:val="24"/>
              </w:rPr>
              <w:t>To assist in coordinating and driving the delivery of the consented Sustainable Urban Extensions (SUE’s) and associated infrastructure, including leading and managing specific projects and additional planning s</w:t>
            </w:r>
            <w:r w:rsidRPr="00D9356B">
              <w:rPr>
                <w:sz w:val="24"/>
              </w:rPr>
              <w:t xml:space="preserve">taff </w:t>
            </w:r>
            <w:r>
              <w:rPr>
                <w:sz w:val="24"/>
              </w:rPr>
              <w:t xml:space="preserve">to support delivery, plus development management capacity. </w:t>
            </w:r>
          </w:p>
        </w:tc>
        <w:tc>
          <w:tcPr>
            <w:tcW w:w="1767" w:type="dxa"/>
            <w:vMerge w:val="restart"/>
          </w:tcPr>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p w:rsidR="00294134" w:rsidRDefault="00294134" w:rsidP="006B0D6E">
            <w:pPr>
              <w:jc w:val="right"/>
              <w:rPr>
                <w:sz w:val="24"/>
              </w:rPr>
            </w:pPr>
          </w:p>
        </w:tc>
        <w:tc>
          <w:tcPr>
            <w:tcW w:w="1377" w:type="dxa"/>
          </w:tcPr>
          <w:p w:rsidR="00294134" w:rsidRDefault="00294134" w:rsidP="006B0D6E">
            <w:pPr>
              <w:jc w:val="right"/>
              <w:rPr>
                <w:sz w:val="24"/>
              </w:rPr>
            </w:pPr>
            <w:r>
              <w:rPr>
                <w:sz w:val="24"/>
              </w:rPr>
              <w:lastRenderedPageBreak/>
              <w:t xml:space="preserve">331   </w:t>
            </w:r>
          </w:p>
        </w:tc>
      </w:tr>
      <w:tr w:rsidR="00294134" w:rsidTr="006B0D6E">
        <w:tc>
          <w:tcPr>
            <w:tcW w:w="1931" w:type="dxa"/>
          </w:tcPr>
          <w:p w:rsidR="00294134" w:rsidRPr="00D9356B" w:rsidRDefault="00294134" w:rsidP="006B0D6E">
            <w:pPr>
              <w:rPr>
                <w:sz w:val="24"/>
              </w:rPr>
            </w:pPr>
            <w:r w:rsidRPr="00D9356B">
              <w:rPr>
                <w:sz w:val="24"/>
              </w:rPr>
              <w:t>Highways Staff</w:t>
            </w:r>
          </w:p>
        </w:tc>
        <w:tc>
          <w:tcPr>
            <w:tcW w:w="3786" w:type="dxa"/>
            <w:gridSpan w:val="2"/>
          </w:tcPr>
          <w:p w:rsidR="00294134" w:rsidRPr="00D9356B" w:rsidRDefault="00294134" w:rsidP="00294134">
            <w:pPr>
              <w:jc w:val="both"/>
              <w:rPr>
                <w:sz w:val="24"/>
              </w:rPr>
            </w:pPr>
            <w:r>
              <w:rPr>
                <w:sz w:val="24"/>
              </w:rPr>
              <w:t>Additional h</w:t>
            </w:r>
            <w:r w:rsidRPr="00D9356B">
              <w:rPr>
                <w:sz w:val="24"/>
              </w:rPr>
              <w:t xml:space="preserve">ighways </w:t>
            </w:r>
            <w:r>
              <w:rPr>
                <w:sz w:val="24"/>
              </w:rPr>
              <w:t>capacity</w:t>
            </w:r>
          </w:p>
        </w:tc>
        <w:tc>
          <w:tcPr>
            <w:tcW w:w="1767" w:type="dxa"/>
            <w:vMerge/>
          </w:tcPr>
          <w:p w:rsidR="00294134" w:rsidRDefault="00294134" w:rsidP="006B0D6E">
            <w:pPr>
              <w:jc w:val="right"/>
              <w:rPr>
                <w:sz w:val="24"/>
              </w:rPr>
            </w:pPr>
          </w:p>
        </w:tc>
        <w:tc>
          <w:tcPr>
            <w:tcW w:w="1377" w:type="dxa"/>
          </w:tcPr>
          <w:p w:rsidR="00294134" w:rsidRDefault="00294134" w:rsidP="006B0D6E">
            <w:pPr>
              <w:jc w:val="right"/>
              <w:rPr>
                <w:sz w:val="24"/>
              </w:rPr>
            </w:pPr>
            <w:r>
              <w:rPr>
                <w:sz w:val="24"/>
              </w:rPr>
              <w:t>66</w:t>
            </w:r>
          </w:p>
        </w:tc>
      </w:tr>
      <w:tr w:rsidR="00294134" w:rsidTr="006B0D6E">
        <w:tc>
          <w:tcPr>
            <w:tcW w:w="1931" w:type="dxa"/>
          </w:tcPr>
          <w:p w:rsidR="00294134" w:rsidRPr="00D9356B" w:rsidRDefault="00294134" w:rsidP="006B0D6E">
            <w:pPr>
              <w:rPr>
                <w:sz w:val="24"/>
              </w:rPr>
            </w:pPr>
            <w:r w:rsidRPr="00D9356B">
              <w:rPr>
                <w:sz w:val="24"/>
              </w:rPr>
              <w:t>Legal Capacity</w:t>
            </w:r>
          </w:p>
        </w:tc>
        <w:tc>
          <w:tcPr>
            <w:tcW w:w="3786" w:type="dxa"/>
            <w:gridSpan w:val="2"/>
          </w:tcPr>
          <w:p w:rsidR="00294134" w:rsidRPr="00D9356B" w:rsidRDefault="00294134" w:rsidP="00294134">
            <w:pPr>
              <w:jc w:val="both"/>
              <w:rPr>
                <w:sz w:val="24"/>
              </w:rPr>
            </w:pPr>
            <w:r w:rsidRPr="00D9356B">
              <w:rPr>
                <w:sz w:val="24"/>
              </w:rPr>
              <w:t>Costs associated with delivery of SUE</w:t>
            </w:r>
            <w:r>
              <w:rPr>
                <w:sz w:val="24"/>
              </w:rPr>
              <w:t>’</w:t>
            </w:r>
            <w:r w:rsidRPr="00D9356B">
              <w:rPr>
                <w:sz w:val="24"/>
              </w:rPr>
              <w:t>s</w:t>
            </w:r>
            <w:r>
              <w:rPr>
                <w:sz w:val="24"/>
              </w:rPr>
              <w:t xml:space="preserve">. </w:t>
            </w:r>
          </w:p>
        </w:tc>
        <w:tc>
          <w:tcPr>
            <w:tcW w:w="1767" w:type="dxa"/>
            <w:vMerge/>
          </w:tcPr>
          <w:p w:rsidR="00294134" w:rsidRDefault="00294134" w:rsidP="006B0D6E">
            <w:pPr>
              <w:jc w:val="right"/>
              <w:rPr>
                <w:sz w:val="24"/>
              </w:rPr>
            </w:pPr>
          </w:p>
        </w:tc>
        <w:tc>
          <w:tcPr>
            <w:tcW w:w="1377" w:type="dxa"/>
          </w:tcPr>
          <w:p w:rsidR="00294134" w:rsidRDefault="00294134" w:rsidP="006B0D6E">
            <w:pPr>
              <w:jc w:val="right"/>
              <w:rPr>
                <w:sz w:val="24"/>
              </w:rPr>
            </w:pPr>
          </w:p>
        </w:tc>
      </w:tr>
      <w:tr w:rsidR="00294134" w:rsidTr="006B0D6E">
        <w:tc>
          <w:tcPr>
            <w:tcW w:w="1939" w:type="dxa"/>
            <w:gridSpan w:val="2"/>
          </w:tcPr>
          <w:p w:rsidR="00294134" w:rsidRPr="00CF6C7E" w:rsidRDefault="00294134" w:rsidP="006B0D6E">
            <w:pPr>
              <w:pStyle w:val="Default"/>
            </w:pPr>
            <w:r w:rsidRPr="00CF6C7E">
              <w:lastRenderedPageBreak/>
              <w:t xml:space="preserve">Viability Testing </w:t>
            </w:r>
          </w:p>
        </w:tc>
        <w:tc>
          <w:tcPr>
            <w:tcW w:w="3778" w:type="dxa"/>
          </w:tcPr>
          <w:p w:rsidR="00294134" w:rsidRPr="00CF6C7E" w:rsidRDefault="00294134" w:rsidP="00294134">
            <w:pPr>
              <w:pStyle w:val="Default"/>
              <w:jc w:val="both"/>
            </w:pPr>
            <w:r w:rsidRPr="00CF6C7E">
              <w:t xml:space="preserve">External Consultative Advice/Negotiations </w:t>
            </w:r>
          </w:p>
        </w:tc>
        <w:tc>
          <w:tcPr>
            <w:tcW w:w="1767" w:type="dxa"/>
            <w:vMerge/>
          </w:tcPr>
          <w:p w:rsidR="00294134" w:rsidRDefault="00294134" w:rsidP="006B0D6E">
            <w:pPr>
              <w:jc w:val="right"/>
              <w:rPr>
                <w:sz w:val="24"/>
              </w:rPr>
            </w:pPr>
          </w:p>
        </w:tc>
        <w:tc>
          <w:tcPr>
            <w:tcW w:w="1377" w:type="dxa"/>
            <w:vMerge w:val="restart"/>
          </w:tcPr>
          <w:p w:rsidR="00294134" w:rsidRDefault="00294134" w:rsidP="006B0D6E">
            <w:pPr>
              <w:jc w:val="right"/>
              <w:rPr>
                <w:sz w:val="24"/>
              </w:rPr>
            </w:pPr>
          </w:p>
        </w:tc>
      </w:tr>
      <w:tr w:rsidR="00294134" w:rsidTr="006B0D6E">
        <w:tc>
          <w:tcPr>
            <w:tcW w:w="1939" w:type="dxa"/>
            <w:gridSpan w:val="2"/>
          </w:tcPr>
          <w:p w:rsidR="00294134" w:rsidRPr="00CF6C7E" w:rsidRDefault="00294134" w:rsidP="006B0D6E">
            <w:pPr>
              <w:pStyle w:val="Default"/>
            </w:pPr>
            <w:r w:rsidRPr="00CF6C7E">
              <w:lastRenderedPageBreak/>
              <w:t xml:space="preserve">Joint Planning Unit </w:t>
            </w:r>
          </w:p>
        </w:tc>
        <w:tc>
          <w:tcPr>
            <w:tcW w:w="3778" w:type="dxa"/>
          </w:tcPr>
          <w:p w:rsidR="00294134" w:rsidRPr="00CF6C7E" w:rsidRDefault="00294134" w:rsidP="00294134">
            <w:pPr>
              <w:pStyle w:val="Default"/>
              <w:jc w:val="both"/>
            </w:pPr>
            <w:r w:rsidRPr="00CF6C7E">
              <w:t>Additional support on specialist planning matters – ecology, heritage, sustainability, design, etc</w:t>
            </w:r>
            <w:r>
              <w:t>.</w:t>
            </w:r>
            <w:r w:rsidRPr="00CF6C7E">
              <w:t xml:space="preserve"> </w:t>
            </w:r>
          </w:p>
        </w:tc>
        <w:tc>
          <w:tcPr>
            <w:tcW w:w="1767" w:type="dxa"/>
            <w:vMerge/>
          </w:tcPr>
          <w:p w:rsidR="00294134" w:rsidRDefault="00294134" w:rsidP="006B0D6E">
            <w:pPr>
              <w:jc w:val="right"/>
              <w:rPr>
                <w:sz w:val="24"/>
              </w:rPr>
            </w:pPr>
          </w:p>
        </w:tc>
        <w:tc>
          <w:tcPr>
            <w:tcW w:w="1377" w:type="dxa"/>
            <w:vMerge/>
          </w:tcPr>
          <w:p w:rsidR="00294134" w:rsidRDefault="00294134" w:rsidP="006B0D6E">
            <w:pPr>
              <w:jc w:val="right"/>
              <w:rPr>
                <w:sz w:val="24"/>
              </w:rPr>
            </w:pPr>
          </w:p>
        </w:tc>
      </w:tr>
      <w:tr w:rsidR="00294134" w:rsidTr="006B0D6E">
        <w:tc>
          <w:tcPr>
            <w:tcW w:w="1939" w:type="dxa"/>
            <w:gridSpan w:val="2"/>
          </w:tcPr>
          <w:p w:rsidR="00294134" w:rsidRPr="00CF6C7E" w:rsidRDefault="00294134" w:rsidP="006B0D6E">
            <w:pPr>
              <w:pStyle w:val="Default"/>
            </w:pPr>
            <w:r w:rsidRPr="00CF6C7E">
              <w:t xml:space="preserve">Community Engagement </w:t>
            </w:r>
          </w:p>
        </w:tc>
        <w:tc>
          <w:tcPr>
            <w:tcW w:w="3778" w:type="dxa"/>
          </w:tcPr>
          <w:p w:rsidR="00294134" w:rsidRPr="00CF6C7E" w:rsidRDefault="00294134" w:rsidP="00294134">
            <w:pPr>
              <w:pStyle w:val="Default"/>
              <w:jc w:val="both"/>
            </w:pPr>
            <w:r>
              <w:t>A</w:t>
            </w:r>
            <w:r w:rsidRPr="00CF6C7E">
              <w:t>dditional engagement above and beyond existing scope</w:t>
            </w:r>
            <w:r>
              <w:t>, including training.</w:t>
            </w:r>
          </w:p>
        </w:tc>
        <w:tc>
          <w:tcPr>
            <w:tcW w:w="1767" w:type="dxa"/>
            <w:vMerge/>
          </w:tcPr>
          <w:p w:rsidR="00294134" w:rsidRDefault="00294134" w:rsidP="006B0D6E">
            <w:pPr>
              <w:jc w:val="right"/>
              <w:rPr>
                <w:sz w:val="24"/>
              </w:rPr>
            </w:pPr>
          </w:p>
        </w:tc>
        <w:tc>
          <w:tcPr>
            <w:tcW w:w="1377" w:type="dxa"/>
            <w:vMerge/>
          </w:tcPr>
          <w:p w:rsidR="00294134" w:rsidRDefault="00294134" w:rsidP="006B0D6E">
            <w:pPr>
              <w:jc w:val="right"/>
              <w:rPr>
                <w:sz w:val="24"/>
              </w:rPr>
            </w:pPr>
          </w:p>
        </w:tc>
      </w:tr>
      <w:tr w:rsidR="00294134" w:rsidTr="006B0D6E">
        <w:tc>
          <w:tcPr>
            <w:tcW w:w="1939" w:type="dxa"/>
            <w:gridSpan w:val="2"/>
          </w:tcPr>
          <w:p w:rsidR="00294134" w:rsidRPr="00CF6C7E" w:rsidRDefault="00294134" w:rsidP="006B0D6E">
            <w:pPr>
              <w:pStyle w:val="Default"/>
            </w:pPr>
            <w:r w:rsidRPr="00CF6C7E">
              <w:t xml:space="preserve">Economic Development </w:t>
            </w:r>
          </w:p>
        </w:tc>
        <w:tc>
          <w:tcPr>
            <w:tcW w:w="3778" w:type="dxa"/>
          </w:tcPr>
          <w:p w:rsidR="00294134" w:rsidRPr="00CF6C7E" w:rsidRDefault="00294134" w:rsidP="00294134">
            <w:pPr>
              <w:pStyle w:val="Default"/>
              <w:jc w:val="both"/>
            </w:pPr>
            <w:r w:rsidRPr="00CF6C7E">
              <w:t xml:space="preserve">Place marketing, promotional work, inward investment expertise, funding bids </w:t>
            </w:r>
          </w:p>
        </w:tc>
        <w:tc>
          <w:tcPr>
            <w:tcW w:w="1767" w:type="dxa"/>
            <w:vMerge/>
          </w:tcPr>
          <w:p w:rsidR="00294134" w:rsidRDefault="00294134" w:rsidP="006B0D6E">
            <w:pPr>
              <w:jc w:val="right"/>
              <w:rPr>
                <w:sz w:val="24"/>
              </w:rPr>
            </w:pPr>
          </w:p>
        </w:tc>
        <w:tc>
          <w:tcPr>
            <w:tcW w:w="1377" w:type="dxa"/>
          </w:tcPr>
          <w:p w:rsidR="00294134" w:rsidRDefault="00294134" w:rsidP="006B0D6E">
            <w:pPr>
              <w:jc w:val="right"/>
              <w:rPr>
                <w:sz w:val="24"/>
              </w:rPr>
            </w:pPr>
            <w:r>
              <w:rPr>
                <w:sz w:val="24"/>
              </w:rPr>
              <w:t>30</w:t>
            </w:r>
          </w:p>
        </w:tc>
      </w:tr>
      <w:tr w:rsidR="00294134" w:rsidRPr="00D9356B" w:rsidTr="006B0D6E">
        <w:tc>
          <w:tcPr>
            <w:tcW w:w="1939" w:type="dxa"/>
            <w:gridSpan w:val="2"/>
          </w:tcPr>
          <w:p w:rsidR="00294134" w:rsidRPr="00D9356B" w:rsidRDefault="00294134" w:rsidP="006B0D6E">
            <w:pPr>
              <w:pStyle w:val="Default"/>
              <w:rPr>
                <w:b/>
                <w:sz w:val="23"/>
                <w:szCs w:val="23"/>
              </w:rPr>
            </w:pPr>
          </w:p>
        </w:tc>
        <w:tc>
          <w:tcPr>
            <w:tcW w:w="3778" w:type="dxa"/>
          </w:tcPr>
          <w:p w:rsidR="00294134" w:rsidRPr="00D9356B" w:rsidRDefault="00294134" w:rsidP="006B0D6E">
            <w:pPr>
              <w:pStyle w:val="Default"/>
              <w:rPr>
                <w:b/>
                <w:sz w:val="23"/>
                <w:szCs w:val="23"/>
              </w:rPr>
            </w:pPr>
            <w:r w:rsidRPr="00D9356B">
              <w:rPr>
                <w:b/>
                <w:sz w:val="23"/>
                <w:szCs w:val="23"/>
              </w:rPr>
              <w:t>Sub Total</w:t>
            </w:r>
          </w:p>
        </w:tc>
        <w:tc>
          <w:tcPr>
            <w:tcW w:w="1767" w:type="dxa"/>
          </w:tcPr>
          <w:p w:rsidR="00294134" w:rsidRDefault="00294134" w:rsidP="006B0D6E">
            <w:pPr>
              <w:jc w:val="right"/>
              <w:rPr>
                <w:b/>
                <w:sz w:val="24"/>
              </w:rPr>
            </w:pPr>
            <w:r>
              <w:rPr>
                <w:b/>
                <w:sz w:val="24"/>
              </w:rPr>
              <w:t>567</w:t>
            </w:r>
          </w:p>
          <w:p w:rsidR="00294134" w:rsidRPr="00D9356B" w:rsidRDefault="00294134" w:rsidP="006B0D6E">
            <w:pPr>
              <w:jc w:val="right"/>
              <w:rPr>
                <w:b/>
                <w:sz w:val="24"/>
              </w:rPr>
            </w:pPr>
          </w:p>
        </w:tc>
        <w:tc>
          <w:tcPr>
            <w:tcW w:w="1377" w:type="dxa"/>
          </w:tcPr>
          <w:p w:rsidR="00294134" w:rsidRDefault="00294134" w:rsidP="006B0D6E">
            <w:pPr>
              <w:jc w:val="right"/>
              <w:rPr>
                <w:b/>
                <w:sz w:val="24"/>
              </w:rPr>
            </w:pPr>
            <w:r>
              <w:rPr>
                <w:b/>
                <w:sz w:val="24"/>
              </w:rPr>
              <w:t>427</w:t>
            </w:r>
          </w:p>
        </w:tc>
      </w:tr>
      <w:tr w:rsidR="00294134" w:rsidRPr="00D9356B" w:rsidTr="006B0D6E">
        <w:tc>
          <w:tcPr>
            <w:tcW w:w="1939" w:type="dxa"/>
            <w:gridSpan w:val="2"/>
          </w:tcPr>
          <w:p w:rsidR="00294134" w:rsidRPr="00D9356B" w:rsidRDefault="00294134" w:rsidP="006B0D6E">
            <w:pPr>
              <w:pStyle w:val="Default"/>
              <w:rPr>
                <w:b/>
                <w:sz w:val="23"/>
                <w:szCs w:val="23"/>
              </w:rPr>
            </w:pPr>
          </w:p>
        </w:tc>
        <w:tc>
          <w:tcPr>
            <w:tcW w:w="3778" w:type="dxa"/>
          </w:tcPr>
          <w:p w:rsidR="00294134" w:rsidRPr="00D9356B" w:rsidRDefault="00294134" w:rsidP="006B0D6E">
            <w:pPr>
              <w:pStyle w:val="Default"/>
              <w:rPr>
                <w:b/>
                <w:sz w:val="23"/>
                <w:szCs w:val="23"/>
              </w:rPr>
            </w:pPr>
          </w:p>
        </w:tc>
        <w:tc>
          <w:tcPr>
            <w:tcW w:w="1767" w:type="dxa"/>
          </w:tcPr>
          <w:p w:rsidR="00294134" w:rsidRDefault="00294134" w:rsidP="006B0D6E">
            <w:pPr>
              <w:jc w:val="right"/>
              <w:rPr>
                <w:b/>
                <w:sz w:val="24"/>
              </w:rPr>
            </w:pPr>
          </w:p>
        </w:tc>
        <w:tc>
          <w:tcPr>
            <w:tcW w:w="1377" w:type="dxa"/>
          </w:tcPr>
          <w:p w:rsidR="00294134" w:rsidRDefault="00294134" w:rsidP="006B0D6E">
            <w:pPr>
              <w:jc w:val="right"/>
              <w:rPr>
                <w:b/>
                <w:sz w:val="24"/>
              </w:rPr>
            </w:pPr>
          </w:p>
        </w:tc>
      </w:tr>
      <w:tr w:rsidR="00294134" w:rsidRPr="00D9356B" w:rsidTr="006B0D6E">
        <w:tc>
          <w:tcPr>
            <w:tcW w:w="1939" w:type="dxa"/>
            <w:gridSpan w:val="2"/>
          </w:tcPr>
          <w:p w:rsidR="00294134" w:rsidRPr="00D9356B" w:rsidRDefault="00294134" w:rsidP="006B0D6E">
            <w:pPr>
              <w:pStyle w:val="Default"/>
              <w:rPr>
                <w:b/>
                <w:sz w:val="23"/>
                <w:szCs w:val="23"/>
              </w:rPr>
            </w:pPr>
            <w:r w:rsidRPr="00D9356B">
              <w:rPr>
                <w:b/>
                <w:sz w:val="23"/>
                <w:szCs w:val="23"/>
              </w:rPr>
              <w:t>Assessments and Studies</w:t>
            </w:r>
          </w:p>
        </w:tc>
        <w:tc>
          <w:tcPr>
            <w:tcW w:w="3778" w:type="dxa"/>
          </w:tcPr>
          <w:p w:rsidR="00294134" w:rsidRPr="00D9356B" w:rsidRDefault="00294134" w:rsidP="006B0D6E">
            <w:pPr>
              <w:pStyle w:val="Default"/>
              <w:rPr>
                <w:b/>
                <w:sz w:val="23"/>
                <w:szCs w:val="23"/>
              </w:rPr>
            </w:pPr>
          </w:p>
        </w:tc>
        <w:tc>
          <w:tcPr>
            <w:tcW w:w="1767" w:type="dxa"/>
            <w:vMerge w:val="restart"/>
          </w:tcPr>
          <w:p w:rsidR="00294134" w:rsidRPr="00D9356B" w:rsidRDefault="00294134" w:rsidP="006B0D6E">
            <w:pPr>
              <w:jc w:val="right"/>
              <w:rPr>
                <w:b/>
                <w:sz w:val="24"/>
              </w:rPr>
            </w:pPr>
          </w:p>
        </w:tc>
        <w:tc>
          <w:tcPr>
            <w:tcW w:w="1377" w:type="dxa"/>
            <w:vMerge w:val="restart"/>
          </w:tcPr>
          <w:p w:rsidR="00294134" w:rsidRPr="00D9356B" w:rsidRDefault="00294134" w:rsidP="006B0D6E">
            <w:pPr>
              <w:jc w:val="right"/>
              <w:rPr>
                <w:b/>
                <w:sz w:val="24"/>
              </w:rPr>
            </w:pPr>
          </w:p>
        </w:tc>
      </w:tr>
      <w:tr w:rsidR="00294134" w:rsidRPr="00D9356B" w:rsidTr="006B0D6E">
        <w:tc>
          <w:tcPr>
            <w:tcW w:w="1939" w:type="dxa"/>
            <w:gridSpan w:val="2"/>
          </w:tcPr>
          <w:p w:rsidR="00294134" w:rsidRPr="00CF6C7E" w:rsidRDefault="00294134" w:rsidP="006B0D6E">
            <w:pPr>
              <w:pStyle w:val="Default"/>
            </w:pPr>
            <w:r w:rsidRPr="00CF6C7E">
              <w:t xml:space="preserve">Programme of commissioned work on NN Growth Community </w:t>
            </w:r>
          </w:p>
        </w:tc>
        <w:tc>
          <w:tcPr>
            <w:tcW w:w="3778" w:type="dxa"/>
          </w:tcPr>
          <w:p w:rsidR="00294134" w:rsidRPr="00CF6C7E" w:rsidRDefault="00294134" w:rsidP="00294134">
            <w:pPr>
              <w:pStyle w:val="Default"/>
              <w:jc w:val="both"/>
            </w:pPr>
            <w:r w:rsidRPr="00CF6C7E">
              <w:t>Ensure appropriate best-practice principles are enshrined in operational delivery</w:t>
            </w:r>
            <w:r>
              <w:t>, Delivery Plan Health.</w:t>
            </w:r>
          </w:p>
        </w:tc>
        <w:tc>
          <w:tcPr>
            <w:tcW w:w="1767" w:type="dxa"/>
            <w:vMerge/>
          </w:tcPr>
          <w:p w:rsidR="00294134" w:rsidRPr="00D9356B" w:rsidRDefault="00294134" w:rsidP="006B0D6E">
            <w:pPr>
              <w:jc w:val="right"/>
              <w:rPr>
                <w:sz w:val="24"/>
              </w:rPr>
            </w:pPr>
          </w:p>
        </w:tc>
        <w:tc>
          <w:tcPr>
            <w:tcW w:w="1377" w:type="dxa"/>
            <w:vMerge/>
          </w:tcPr>
          <w:p w:rsidR="00294134" w:rsidRPr="00D9356B" w:rsidRDefault="00294134" w:rsidP="006B0D6E">
            <w:pPr>
              <w:jc w:val="right"/>
              <w:rPr>
                <w:sz w:val="24"/>
              </w:rPr>
            </w:pPr>
          </w:p>
        </w:tc>
      </w:tr>
      <w:tr w:rsidR="00294134" w:rsidRPr="00D9356B" w:rsidTr="006B0D6E">
        <w:tc>
          <w:tcPr>
            <w:tcW w:w="1939" w:type="dxa"/>
            <w:gridSpan w:val="2"/>
          </w:tcPr>
          <w:p w:rsidR="00294134" w:rsidRPr="00CF6C7E" w:rsidRDefault="00294134" w:rsidP="006B0D6E">
            <w:pPr>
              <w:pStyle w:val="Default"/>
            </w:pPr>
            <w:r w:rsidRPr="00CF6C7E">
              <w:t>Transport Assessments, etc</w:t>
            </w:r>
            <w:r>
              <w:t>.</w:t>
            </w:r>
            <w:r w:rsidRPr="00CF6C7E">
              <w:t xml:space="preserve"> </w:t>
            </w:r>
          </w:p>
        </w:tc>
        <w:tc>
          <w:tcPr>
            <w:tcW w:w="3778" w:type="dxa"/>
          </w:tcPr>
          <w:p w:rsidR="00294134" w:rsidRPr="00CF6C7E" w:rsidRDefault="00294134" w:rsidP="00294134">
            <w:pPr>
              <w:pStyle w:val="Default"/>
              <w:jc w:val="both"/>
            </w:pPr>
            <w:r w:rsidRPr="00CF6C7E">
              <w:t>Required to support delivery of SUE</w:t>
            </w:r>
            <w:r>
              <w:t>’</w:t>
            </w:r>
            <w:r w:rsidRPr="00CF6C7E">
              <w:t xml:space="preserve">s </w:t>
            </w:r>
            <w:r>
              <w:t>A6, A6003</w:t>
            </w:r>
          </w:p>
        </w:tc>
        <w:tc>
          <w:tcPr>
            <w:tcW w:w="1767" w:type="dxa"/>
            <w:vMerge/>
          </w:tcPr>
          <w:p w:rsidR="00294134" w:rsidRPr="00D9356B" w:rsidRDefault="00294134" w:rsidP="006B0D6E">
            <w:pPr>
              <w:jc w:val="right"/>
              <w:rPr>
                <w:sz w:val="24"/>
              </w:rPr>
            </w:pPr>
          </w:p>
        </w:tc>
        <w:tc>
          <w:tcPr>
            <w:tcW w:w="1377" w:type="dxa"/>
            <w:vMerge/>
          </w:tcPr>
          <w:p w:rsidR="00294134" w:rsidRPr="00D9356B" w:rsidRDefault="00294134" w:rsidP="006B0D6E">
            <w:pPr>
              <w:jc w:val="right"/>
              <w:rPr>
                <w:sz w:val="24"/>
              </w:rPr>
            </w:pPr>
          </w:p>
        </w:tc>
      </w:tr>
      <w:tr w:rsidR="00294134" w:rsidRPr="00D9356B" w:rsidTr="006B0D6E">
        <w:tc>
          <w:tcPr>
            <w:tcW w:w="1939" w:type="dxa"/>
            <w:gridSpan w:val="2"/>
          </w:tcPr>
          <w:p w:rsidR="00294134" w:rsidRPr="00CF6C7E" w:rsidRDefault="00294134" w:rsidP="006B0D6E">
            <w:pPr>
              <w:pStyle w:val="Default"/>
            </w:pPr>
            <w:r>
              <w:t xml:space="preserve">Admin running  costs </w:t>
            </w:r>
          </w:p>
        </w:tc>
        <w:tc>
          <w:tcPr>
            <w:tcW w:w="3778" w:type="dxa"/>
          </w:tcPr>
          <w:p w:rsidR="00294134" w:rsidRPr="00CF6C7E" w:rsidRDefault="00294134" w:rsidP="00294134">
            <w:pPr>
              <w:pStyle w:val="Default"/>
              <w:jc w:val="both"/>
            </w:pPr>
            <w:r>
              <w:t>Other minor unplanned spend</w:t>
            </w:r>
          </w:p>
        </w:tc>
        <w:tc>
          <w:tcPr>
            <w:tcW w:w="1767" w:type="dxa"/>
            <w:vMerge/>
          </w:tcPr>
          <w:p w:rsidR="00294134" w:rsidRDefault="00294134" w:rsidP="006B0D6E">
            <w:pPr>
              <w:jc w:val="right"/>
              <w:rPr>
                <w:sz w:val="24"/>
              </w:rPr>
            </w:pPr>
          </w:p>
        </w:tc>
        <w:tc>
          <w:tcPr>
            <w:tcW w:w="1377" w:type="dxa"/>
            <w:vMerge/>
          </w:tcPr>
          <w:p w:rsidR="00294134" w:rsidRDefault="00294134" w:rsidP="006B0D6E">
            <w:pPr>
              <w:jc w:val="right"/>
              <w:rPr>
                <w:sz w:val="24"/>
              </w:rPr>
            </w:pPr>
          </w:p>
        </w:tc>
      </w:tr>
      <w:tr w:rsidR="00294134" w:rsidRPr="00D9356B" w:rsidTr="006B0D6E">
        <w:tc>
          <w:tcPr>
            <w:tcW w:w="1939" w:type="dxa"/>
            <w:gridSpan w:val="2"/>
          </w:tcPr>
          <w:p w:rsidR="00294134" w:rsidRPr="00D9356B" w:rsidRDefault="00294134" w:rsidP="006B0D6E">
            <w:pPr>
              <w:pStyle w:val="Default"/>
              <w:rPr>
                <w:b/>
                <w:sz w:val="23"/>
                <w:szCs w:val="23"/>
              </w:rPr>
            </w:pPr>
            <w:r>
              <w:rPr>
                <w:b/>
                <w:sz w:val="23"/>
                <w:szCs w:val="23"/>
              </w:rPr>
              <w:t xml:space="preserve">Sub Total </w:t>
            </w:r>
          </w:p>
        </w:tc>
        <w:tc>
          <w:tcPr>
            <w:tcW w:w="3778" w:type="dxa"/>
          </w:tcPr>
          <w:p w:rsidR="00294134" w:rsidRDefault="00294134" w:rsidP="006B0D6E">
            <w:pPr>
              <w:pStyle w:val="Default"/>
              <w:rPr>
                <w:b/>
                <w:sz w:val="23"/>
                <w:szCs w:val="23"/>
              </w:rPr>
            </w:pPr>
          </w:p>
          <w:p w:rsidR="00294134" w:rsidRPr="00D9356B" w:rsidRDefault="00294134" w:rsidP="006B0D6E">
            <w:pPr>
              <w:pStyle w:val="Default"/>
              <w:rPr>
                <w:b/>
                <w:sz w:val="23"/>
                <w:szCs w:val="23"/>
              </w:rPr>
            </w:pPr>
          </w:p>
        </w:tc>
        <w:tc>
          <w:tcPr>
            <w:tcW w:w="1767" w:type="dxa"/>
          </w:tcPr>
          <w:p w:rsidR="00294134" w:rsidRPr="00D9356B" w:rsidRDefault="00294134" w:rsidP="006B0D6E">
            <w:pPr>
              <w:jc w:val="right"/>
              <w:rPr>
                <w:b/>
                <w:sz w:val="24"/>
              </w:rPr>
            </w:pPr>
            <w:r>
              <w:rPr>
                <w:b/>
                <w:sz w:val="24"/>
              </w:rPr>
              <w:t>63</w:t>
            </w:r>
          </w:p>
        </w:tc>
        <w:tc>
          <w:tcPr>
            <w:tcW w:w="1377" w:type="dxa"/>
          </w:tcPr>
          <w:p w:rsidR="00294134" w:rsidRDefault="00294134" w:rsidP="006B0D6E">
            <w:pPr>
              <w:jc w:val="right"/>
              <w:rPr>
                <w:b/>
                <w:sz w:val="24"/>
              </w:rPr>
            </w:pPr>
            <w:r>
              <w:rPr>
                <w:b/>
                <w:sz w:val="24"/>
              </w:rPr>
              <w:t>50</w:t>
            </w:r>
          </w:p>
        </w:tc>
      </w:tr>
      <w:tr w:rsidR="00294134" w:rsidRPr="00D9356B" w:rsidTr="006B0D6E">
        <w:tc>
          <w:tcPr>
            <w:tcW w:w="1939" w:type="dxa"/>
            <w:gridSpan w:val="2"/>
          </w:tcPr>
          <w:p w:rsidR="00294134" w:rsidRDefault="00294134" w:rsidP="006B0D6E">
            <w:pPr>
              <w:pStyle w:val="Default"/>
              <w:rPr>
                <w:b/>
                <w:sz w:val="23"/>
                <w:szCs w:val="23"/>
              </w:rPr>
            </w:pPr>
          </w:p>
        </w:tc>
        <w:tc>
          <w:tcPr>
            <w:tcW w:w="3778" w:type="dxa"/>
          </w:tcPr>
          <w:p w:rsidR="00294134" w:rsidRDefault="00294134" w:rsidP="006B0D6E">
            <w:pPr>
              <w:pStyle w:val="Default"/>
              <w:rPr>
                <w:b/>
                <w:sz w:val="23"/>
                <w:szCs w:val="23"/>
              </w:rPr>
            </w:pPr>
            <w:r>
              <w:rPr>
                <w:b/>
                <w:sz w:val="23"/>
                <w:szCs w:val="23"/>
              </w:rPr>
              <w:t xml:space="preserve">Yet to be spent                                                </w:t>
            </w:r>
          </w:p>
        </w:tc>
        <w:tc>
          <w:tcPr>
            <w:tcW w:w="1767" w:type="dxa"/>
          </w:tcPr>
          <w:p w:rsidR="00294134" w:rsidRPr="00D9356B" w:rsidRDefault="00294134" w:rsidP="006B0D6E">
            <w:pPr>
              <w:rPr>
                <w:b/>
                <w:sz w:val="24"/>
              </w:rPr>
            </w:pPr>
            <w:r>
              <w:rPr>
                <w:b/>
                <w:sz w:val="24"/>
              </w:rPr>
              <w:t xml:space="preserve">                    120</w:t>
            </w:r>
          </w:p>
        </w:tc>
        <w:tc>
          <w:tcPr>
            <w:tcW w:w="1377" w:type="dxa"/>
          </w:tcPr>
          <w:p w:rsidR="00294134" w:rsidRDefault="00294134" w:rsidP="006B0D6E">
            <w:pPr>
              <w:rPr>
                <w:b/>
                <w:sz w:val="24"/>
              </w:rPr>
            </w:pPr>
            <w:r>
              <w:rPr>
                <w:b/>
                <w:sz w:val="24"/>
              </w:rPr>
              <w:t xml:space="preserve">           128</w:t>
            </w:r>
          </w:p>
        </w:tc>
      </w:tr>
      <w:tr w:rsidR="00294134" w:rsidRPr="00D9356B" w:rsidTr="006B0D6E">
        <w:tc>
          <w:tcPr>
            <w:tcW w:w="1939" w:type="dxa"/>
            <w:gridSpan w:val="2"/>
          </w:tcPr>
          <w:p w:rsidR="00294134" w:rsidRPr="00D9356B" w:rsidRDefault="00294134" w:rsidP="006B0D6E">
            <w:pPr>
              <w:pStyle w:val="Default"/>
              <w:rPr>
                <w:b/>
                <w:sz w:val="23"/>
                <w:szCs w:val="23"/>
              </w:rPr>
            </w:pPr>
            <w:r w:rsidRPr="00D9356B">
              <w:rPr>
                <w:b/>
                <w:sz w:val="23"/>
                <w:szCs w:val="23"/>
              </w:rPr>
              <w:t>Total</w:t>
            </w:r>
          </w:p>
        </w:tc>
        <w:tc>
          <w:tcPr>
            <w:tcW w:w="3778" w:type="dxa"/>
          </w:tcPr>
          <w:p w:rsidR="00294134" w:rsidRPr="00D9356B" w:rsidRDefault="00294134" w:rsidP="006B0D6E">
            <w:pPr>
              <w:pStyle w:val="Default"/>
              <w:rPr>
                <w:b/>
                <w:sz w:val="23"/>
                <w:szCs w:val="23"/>
              </w:rPr>
            </w:pPr>
          </w:p>
        </w:tc>
        <w:tc>
          <w:tcPr>
            <w:tcW w:w="1767" w:type="dxa"/>
          </w:tcPr>
          <w:p w:rsidR="00294134" w:rsidRPr="00D9356B" w:rsidRDefault="00294134" w:rsidP="006B0D6E">
            <w:pPr>
              <w:jc w:val="right"/>
              <w:rPr>
                <w:b/>
                <w:sz w:val="24"/>
              </w:rPr>
            </w:pPr>
            <w:r w:rsidRPr="00D9356B">
              <w:rPr>
                <w:b/>
                <w:sz w:val="24"/>
              </w:rPr>
              <w:t>750</w:t>
            </w:r>
          </w:p>
        </w:tc>
        <w:tc>
          <w:tcPr>
            <w:tcW w:w="1377" w:type="dxa"/>
          </w:tcPr>
          <w:p w:rsidR="00294134" w:rsidRPr="00D9356B" w:rsidRDefault="00294134" w:rsidP="006B0D6E">
            <w:pPr>
              <w:jc w:val="right"/>
              <w:rPr>
                <w:b/>
                <w:sz w:val="24"/>
              </w:rPr>
            </w:pPr>
            <w:r>
              <w:rPr>
                <w:b/>
                <w:sz w:val="24"/>
              </w:rPr>
              <w:t>605</w:t>
            </w:r>
          </w:p>
        </w:tc>
      </w:tr>
      <w:tr w:rsidR="00294134" w:rsidRPr="00D9356B" w:rsidTr="006B0D6E">
        <w:tc>
          <w:tcPr>
            <w:tcW w:w="1939" w:type="dxa"/>
            <w:gridSpan w:val="2"/>
          </w:tcPr>
          <w:p w:rsidR="00294134" w:rsidRPr="00D9356B" w:rsidRDefault="00294134" w:rsidP="006B0D6E">
            <w:pPr>
              <w:pStyle w:val="Default"/>
              <w:rPr>
                <w:b/>
                <w:sz w:val="23"/>
                <w:szCs w:val="23"/>
              </w:rPr>
            </w:pPr>
          </w:p>
        </w:tc>
        <w:tc>
          <w:tcPr>
            <w:tcW w:w="3778" w:type="dxa"/>
          </w:tcPr>
          <w:p w:rsidR="00294134" w:rsidRPr="00D9356B" w:rsidRDefault="00294134" w:rsidP="006B0D6E">
            <w:pPr>
              <w:pStyle w:val="Default"/>
              <w:rPr>
                <w:b/>
                <w:sz w:val="23"/>
                <w:szCs w:val="23"/>
              </w:rPr>
            </w:pPr>
            <w:r>
              <w:rPr>
                <w:b/>
                <w:sz w:val="23"/>
                <w:szCs w:val="23"/>
              </w:rPr>
              <w:t>2016/17 capacity award</w:t>
            </w:r>
          </w:p>
        </w:tc>
        <w:tc>
          <w:tcPr>
            <w:tcW w:w="1767" w:type="dxa"/>
          </w:tcPr>
          <w:p w:rsidR="00294134" w:rsidRPr="00D9356B" w:rsidRDefault="00294134" w:rsidP="006B0D6E">
            <w:pPr>
              <w:rPr>
                <w:b/>
                <w:sz w:val="24"/>
              </w:rPr>
            </w:pPr>
            <w:r>
              <w:rPr>
                <w:b/>
                <w:sz w:val="24"/>
              </w:rPr>
              <w:t>250</w:t>
            </w:r>
          </w:p>
        </w:tc>
        <w:tc>
          <w:tcPr>
            <w:tcW w:w="1377" w:type="dxa"/>
          </w:tcPr>
          <w:p w:rsidR="00294134" w:rsidRDefault="00294134" w:rsidP="006B0D6E">
            <w:pPr>
              <w:rPr>
                <w:b/>
                <w:sz w:val="24"/>
              </w:rPr>
            </w:pPr>
          </w:p>
        </w:tc>
      </w:tr>
      <w:tr w:rsidR="00294134" w:rsidRPr="00D9356B" w:rsidTr="006B0D6E">
        <w:tc>
          <w:tcPr>
            <w:tcW w:w="1939" w:type="dxa"/>
            <w:gridSpan w:val="2"/>
          </w:tcPr>
          <w:p w:rsidR="00294134" w:rsidRPr="00D9356B" w:rsidRDefault="00294134" w:rsidP="006B0D6E">
            <w:pPr>
              <w:pStyle w:val="Default"/>
              <w:rPr>
                <w:b/>
                <w:sz w:val="23"/>
                <w:szCs w:val="23"/>
              </w:rPr>
            </w:pPr>
            <w:r>
              <w:rPr>
                <w:b/>
                <w:sz w:val="23"/>
                <w:szCs w:val="23"/>
              </w:rPr>
              <w:t>Total</w:t>
            </w:r>
          </w:p>
        </w:tc>
        <w:tc>
          <w:tcPr>
            <w:tcW w:w="3778" w:type="dxa"/>
          </w:tcPr>
          <w:p w:rsidR="00294134" w:rsidRPr="00D9356B" w:rsidRDefault="00294134" w:rsidP="006B0D6E">
            <w:pPr>
              <w:pStyle w:val="Default"/>
              <w:rPr>
                <w:b/>
                <w:sz w:val="23"/>
                <w:szCs w:val="23"/>
              </w:rPr>
            </w:pPr>
          </w:p>
        </w:tc>
        <w:tc>
          <w:tcPr>
            <w:tcW w:w="1767" w:type="dxa"/>
          </w:tcPr>
          <w:p w:rsidR="00294134" w:rsidRPr="00D9356B" w:rsidRDefault="00294134" w:rsidP="006B0D6E">
            <w:pPr>
              <w:rPr>
                <w:b/>
                <w:sz w:val="24"/>
              </w:rPr>
            </w:pPr>
            <w:r>
              <w:rPr>
                <w:b/>
                <w:sz w:val="24"/>
              </w:rPr>
              <w:t>370</w:t>
            </w:r>
          </w:p>
        </w:tc>
        <w:tc>
          <w:tcPr>
            <w:tcW w:w="1377" w:type="dxa"/>
          </w:tcPr>
          <w:p w:rsidR="00294134" w:rsidRPr="00D9356B" w:rsidRDefault="00294134" w:rsidP="006B0D6E">
            <w:pPr>
              <w:jc w:val="right"/>
              <w:rPr>
                <w:b/>
                <w:sz w:val="24"/>
              </w:rPr>
            </w:pPr>
          </w:p>
        </w:tc>
      </w:tr>
    </w:tbl>
    <w:p w:rsidR="00294134" w:rsidRDefault="00294134" w:rsidP="00294134">
      <w:pPr>
        <w:ind w:left="567" w:hanging="567"/>
        <w:jc w:val="both"/>
        <w:rPr>
          <w:sz w:val="24"/>
        </w:rPr>
      </w:pPr>
    </w:p>
    <w:p w:rsidR="00294134" w:rsidRDefault="00294134" w:rsidP="00294134">
      <w:pPr>
        <w:pStyle w:val="Default"/>
        <w:ind w:left="709" w:hanging="644"/>
        <w:jc w:val="both"/>
      </w:pPr>
      <w:proofErr w:type="gramStart"/>
      <w:r>
        <w:t>2.3  The</w:t>
      </w:r>
      <w:proofErr w:type="gramEnd"/>
      <w:r>
        <w:t xml:space="preserve"> original award funded a variety of essential work streams to help the five           authorities to be more delivery focused and speed up development on the ground.</w:t>
      </w:r>
    </w:p>
    <w:p w:rsidR="00294134" w:rsidRDefault="00294134" w:rsidP="00294134">
      <w:pPr>
        <w:pStyle w:val="Default"/>
        <w:ind w:left="709" w:hanging="644"/>
        <w:jc w:val="both"/>
      </w:pPr>
      <w:r>
        <w:tab/>
      </w:r>
    </w:p>
    <w:p w:rsidR="00294134" w:rsidRDefault="00294134" w:rsidP="00294134">
      <w:pPr>
        <w:pStyle w:val="Default"/>
        <w:numPr>
          <w:ilvl w:val="0"/>
          <w:numId w:val="11"/>
        </w:numPr>
        <w:ind w:left="709"/>
        <w:jc w:val="both"/>
      </w:pPr>
      <w:r>
        <w:t>Within each authority, additional capacity has been brought to help move the SUE’s delivery along at a faster pace and a greater priority.</w:t>
      </w:r>
    </w:p>
    <w:p w:rsidR="00294134" w:rsidRDefault="00294134" w:rsidP="00294134">
      <w:pPr>
        <w:pStyle w:val="Default"/>
        <w:ind w:left="709" w:hanging="644"/>
        <w:jc w:val="both"/>
      </w:pPr>
    </w:p>
    <w:p w:rsidR="00294134" w:rsidRDefault="00294134" w:rsidP="00294134">
      <w:pPr>
        <w:pStyle w:val="Default"/>
        <w:numPr>
          <w:ilvl w:val="0"/>
          <w:numId w:val="11"/>
        </w:numPr>
        <w:ind w:left="709"/>
        <w:jc w:val="both"/>
      </w:pPr>
      <w:r>
        <w:t>The majority of the funding was spent by the end of March 2016, and those elements, such as the study into health provision within SUE’s have the funds committed to complete the work (due end of summer). Some of the budget for staff resources will run into 2016/17 financial year, to reflect the later start to the project, but also to act as a bridge until the award for 2016/17 is received.</w:t>
      </w:r>
    </w:p>
    <w:p w:rsidR="00294134" w:rsidRDefault="00294134" w:rsidP="00294134">
      <w:pPr>
        <w:pStyle w:val="Default"/>
        <w:ind w:left="709" w:hanging="644"/>
        <w:jc w:val="both"/>
      </w:pPr>
    </w:p>
    <w:p w:rsidR="00294134" w:rsidRDefault="00294134" w:rsidP="00294134">
      <w:pPr>
        <w:pStyle w:val="Default"/>
        <w:ind w:left="709" w:hanging="644"/>
        <w:jc w:val="both"/>
      </w:pPr>
    </w:p>
    <w:p w:rsidR="00294134" w:rsidRDefault="00294134" w:rsidP="00294134">
      <w:pPr>
        <w:pStyle w:val="Default"/>
        <w:ind w:left="709" w:hanging="644"/>
        <w:jc w:val="both"/>
      </w:pPr>
    </w:p>
    <w:p w:rsidR="00294134" w:rsidRDefault="00294134" w:rsidP="00294134">
      <w:pPr>
        <w:pStyle w:val="Default"/>
        <w:ind w:left="709" w:hanging="644"/>
        <w:jc w:val="both"/>
      </w:pPr>
      <w:r>
        <w:t>2.4</w:t>
      </w:r>
      <w:r>
        <w:tab/>
        <w:t>M</w:t>
      </w:r>
      <w:r w:rsidRPr="00EB6C41">
        <w:t>ilestones</w:t>
      </w:r>
    </w:p>
    <w:p w:rsidR="00294134" w:rsidRDefault="00294134" w:rsidP="00294134">
      <w:pPr>
        <w:pStyle w:val="Default"/>
        <w:ind w:left="709"/>
      </w:pPr>
    </w:p>
    <w:p w:rsidR="00294134" w:rsidRPr="00F61BAF" w:rsidRDefault="00294134" w:rsidP="00294134">
      <w:pPr>
        <w:pStyle w:val="Default"/>
        <w:numPr>
          <w:ilvl w:val="0"/>
          <w:numId w:val="10"/>
        </w:numPr>
        <w:ind w:left="1134"/>
        <w:jc w:val="both"/>
      </w:pPr>
      <w:r w:rsidRPr="00F61BAF">
        <w:t>The key posts (Delivery Unit manager, Project Officer, Planning and Highways staff)</w:t>
      </w:r>
      <w:r>
        <w:t>. Second</w:t>
      </w:r>
      <w:r>
        <w:t xml:space="preserve">ed </w:t>
      </w:r>
      <w:proofErr w:type="gramStart"/>
      <w:r>
        <w:t>staff have</w:t>
      </w:r>
      <w:proofErr w:type="gramEnd"/>
      <w:r>
        <w:t xml:space="preserve"> been in place since</w:t>
      </w:r>
      <w:r>
        <w:t xml:space="preserve"> autumn.</w:t>
      </w:r>
    </w:p>
    <w:p w:rsidR="00294134" w:rsidRPr="00D76291" w:rsidRDefault="00294134" w:rsidP="00294134">
      <w:pPr>
        <w:pStyle w:val="Default"/>
        <w:ind w:left="1134"/>
        <w:jc w:val="both"/>
      </w:pPr>
    </w:p>
    <w:p w:rsidR="00294134" w:rsidRDefault="00294134" w:rsidP="00294134">
      <w:pPr>
        <w:pStyle w:val="Default"/>
        <w:numPr>
          <w:ilvl w:val="0"/>
          <w:numId w:val="10"/>
        </w:numPr>
        <w:ind w:left="1134"/>
        <w:jc w:val="both"/>
      </w:pPr>
      <w:r w:rsidRPr="00F61BAF">
        <w:t>C</w:t>
      </w:r>
      <w:r>
        <w:t xml:space="preserve">onsultants were </w:t>
      </w:r>
      <w:r w:rsidRPr="00F61BAF">
        <w:t xml:space="preserve">appointed to undertake the main cross-scheme assessments </w:t>
      </w:r>
      <w:r>
        <w:t>(Delivery Plan),</w:t>
      </w:r>
      <w:r w:rsidRPr="00F61BAF">
        <w:t xml:space="preserve"> assessment of resilience of electric and gas supplies and assessment of on-site health service provision.</w:t>
      </w:r>
      <w:r>
        <w:t xml:space="preserve"> Now completed and work is ongoing to implement the key actions.</w:t>
      </w:r>
    </w:p>
    <w:p w:rsidR="00294134" w:rsidRDefault="00294134" w:rsidP="00294134">
      <w:pPr>
        <w:pStyle w:val="Default"/>
        <w:ind w:left="1134"/>
        <w:jc w:val="both"/>
      </w:pPr>
    </w:p>
    <w:p w:rsidR="00294134" w:rsidRDefault="00294134" w:rsidP="00294134">
      <w:pPr>
        <w:pStyle w:val="Default"/>
        <w:numPr>
          <w:ilvl w:val="0"/>
          <w:numId w:val="10"/>
        </w:numPr>
        <w:ind w:left="1134"/>
        <w:jc w:val="both"/>
      </w:pPr>
      <w:r>
        <w:t xml:space="preserve">Other matters that came up from the Joint Committee or DCLG discussions have been to do with long term stewardship of public open space and public assets, self-build/custom build schemes, along with starter home schemes/affordable housing. </w:t>
      </w:r>
    </w:p>
    <w:p w:rsidR="00294134" w:rsidRDefault="00294134" w:rsidP="00294134">
      <w:pPr>
        <w:pStyle w:val="Default"/>
        <w:ind w:left="1134"/>
        <w:jc w:val="both"/>
      </w:pPr>
    </w:p>
    <w:p w:rsidR="00294134" w:rsidRPr="00F61BAF" w:rsidRDefault="00294134" w:rsidP="00294134">
      <w:pPr>
        <w:pStyle w:val="Default"/>
        <w:numPr>
          <w:ilvl w:val="0"/>
          <w:numId w:val="10"/>
        </w:numPr>
        <w:ind w:left="1134"/>
        <w:jc w:val="both"/>
      </w:pPr>
      <w:r>
        <w:t>Communications and regular meetings on the SUE’s take place to seek to resolve any barriers to delivery and this is still an essential part of the work.</w:t>
      </w:r>
    </w:p>
    <w:p w:rsidR="00294134" w:rsidRDefault="00294134" w:rsidP="00294134">
      <w:pPr>
        <w:ind w:left="709"/>
      </w:pPr>
      <w:r>
        <w:rPr>
          <w:sz w:val="24"/>
          <w:szCs w:val="24"/>
        </w:rPr>
        <w:t xml:space="preserve">    </w:t>
      </w:r>
    </w:p>
    <w:p w:rsidR="00294134" w:rsidRDefault="00294134" w:rsidP="00294134">
      <w:pPr>
        <w:pStyle w:val="Default"/>
        <w:ind w:left="567"/>
        <w:rPr>
          <w:b/>
        </w:rPr>
      </w:pPr>
      <w:r w:rsidRPr="00D76291">
        <w:rPr>
          <w:b/>
        </w:rPr>
        <w:t>Progress to date</w:t>
      </w:r>
    </w:p>
    <w:p w:rsidR="00294134" w:rsidRDefault="00294134" w:rsidP="00294134">
      <w:pPr>
        <w:pStyle w:val="Default"/>
        <w:rPr>
          <w:b/>
        </w:rPr>
      </w:pPr>
    </w:p>
    <w:p w:rsidR="00294134" w:rsidRDefault="00294134" w:rsidP="00294134">
      <w:pPr>
        <w:pStyle w:val="Default"/>
        <w:ind w:left="567" w:hanging="567"/>
        <w:jc w:val="both"/>
      </w:pPr>
      <w:r w:rsidRPr="00D76291">
        <w:t>2.</w:t>
      </w:r>
      <w:r>
        <w:t>5</w:t>
      </w:r>
      <w:r w:rsidRPr="00D76291">
        <w:t xml:space="preserve"> </w:t>
      </w:r>
      <w:r>
        <w:t xml:space="preserve">  The table above shows the areas that the finance has covered.</w:t>
      </w:r>
    </w:p>
    <w:p w:rsidR="00294134" w:rsidRDefault="00294134" w:rsidP="00294134">
      <w:pPr>
        <w:pStyle w:val="Default"/>
        <w:jc w:val="both"/>
      </w:pPr>
    </w:p>
    <w:p w:rsidR="00294134" w:rsidRDefault="00294134" w:rsidP="00294134">
      <w:pPr>
        <w:pStyle w:val="Default"/>
        <w:ind w:left="567" w:hanging="567"/>
        <w:jc w:val="both"/>
      </w:pPr>
      <w:proofErr w:type="gramStart"/>
      <w:r>
        <w:t>2.6  The</w:t>
      </w:r>
      <w:proofErr w:type="gramEnd"/>
      <w:r>
        <w:t xml:space="preserve"> progress to date is considered to be good, with money spent on the key milestones of health study, highways priority of S278/38’s, a delivery plan and planning staff.</w:t>
      </w:r>
    </w:p>
    <w:p w:rsidR="00294134" w:rsidRDefault="00294134" w:rsidP="00294134">
      <w:pPr>
        <w:pStyle w:val="Default"/>
        <w:ind w:left="426" w:hanging="426"/>
        <w:jc w:val="both"/>
      </w:pPr>
    </w:p>
    <w:p w:rsidR="00294134" w:rsidRDefault="00294134" w:rsidP="00294134">
      <w:pPr>
        <w:pStyle w:val="Default"/>
        <w:numPr>
          <w:ilvl w:val="0"/>
          <w:numId w:val="12"/>
        </w:numPr>
        <w:ind w:left="1134"/>
        <w:jc w:val="both"/>
      </w:pPr>
      <w:r>
        <w:t>The Delivery Plan is being implemented</w:t>
      </w:r>
    </w:p>
    <w:p w:rsidR="00294134" w:rsidRDefault="00294134" w:rsidP="00294134">
      <w:pPr>
        <w:pStyle w:val="Default"/>
        <w:ind w:left="1134"/>
        <w:jc w:val="both"/>
      </w:pPr>
    </w:p>
    <w:p w:rsidR="00294134" w:rsidRDefault="00294134" w:rsidP="00294134">
      <w:pPr>
        <w:pStyle w:val="Default"/>
        <w:numPr>
          <w:ilvl w:val="0"/>
          <w:numId w:val="12"/>
        </w:numPr>
        <w:ind w:left="1134"/>
        <w:jc w:val="both"/>
      </w:pPr>
      <w:r>
        <w:t>The Health study is being undertaken. There is a more detailed report attached to the agenda.</w:t>
      </w:r>
    </w:p>
    <w:p w:rsidR="00294134" w:rsidRDefault="00294134" w:rsidP="00294134">
      <w:pPr>
        <w:pStyle w:val="Default"/>
        <w:ind w:left="1134"/>
        <w:jc w:val="both"/>
      </w:pPr>
    </w:p>
    <w:p w:rsidR="00294134" w:rsidRDefault="00294134" w:rsidP="00294134">
      <w:pPr>
        <w:pStyle w:val="Default"/>
        <w:numPr>
          <w:ilvl w:val="0"/>
          <w:numId w:val="12"/>
        </w:numPr>
        <w:ind w:left="1134"/>
        <w:jc w:val="both"/>
      </w:pPr>
      <w:r>
        <w:t>Highway study work.  A6 study work is complete. The work related to the West of Corby is still being worked through.</w:t>
      </w:r>
      <w:r w:rsidRPr="00D76291">
        <w:t xml:space="preserve"> </w:t>
      </w:r>
      <w:r>
        <w:t>Steady progress has been made on a number of key S278/S38 agreements related to the delivery of the SUE’s.</w:t>
      </w:r>
    </w:p>
    <w:p w:rsidR="00294134" w:rsidRDefault="00294134" w:rsidP="00294134">
      <w:pPr>
        <w:pStyle w:val="Default"/>
      </w:pPr>
    </w:p>
    <w:p w:rsidR="00294134" w:rsidRDefault="00294134" w:rsidP="00294134">
      <w:pPr>
        <w:pStyle w:val="Default"/>
        <w:ind w:left="567" w:hanging="567"/>
        <w:jc w:val="both"/>
      </w:pPr>
      <w:r>
        <w:t>2.7</w:t>
      </w:r>
      <w:r>
        <w:tab/>
        <w:t xml:space="preserve">This North Northamptonshire Strategic Stakeholders Group has had helpful inputs into a number of matters such as the Delivery Plan, Health, Action Plans, Highway Programmes, Community Trust and Self-Build. </w:t>
      </w:r>
    </w:p>
    <w:p w:rsidR="00294134" w:rsidRDefault="00294134" w:rsidP="00294134">
      <w:pPr>
        <w:pStyle w:val="Default"/>
      </w:pPr>
    </w:p>
    <w:p w:rsidR="00294134" w:rsidRDefault="00294134" w:rsidP="00294134">
      <w:pPr>
        <w:ind w:left="567" w:hanging="567"/>
        <w:jc w:val="both"/>
        <w:rPr>
          <w:b/>
          <w:sz w:val="24"/>
        </w:rPr>
      </w:pPr>
      <w:r>
        <w:rPr>
          <w:sz w:val="24"/>
        </w:rPr>
        <w:tab/>
      </w:r>
      <w:r w:rsidRPr="005D10FB">
        <w:rPr>
          <w:b/>
          <w:sz w:val="24"/>
        </w:rPr>
        <w:t>Conclusion</w:t>
      </w:r>
    </w:p>
    <w:p w:rsidR="00294134" w:rsidRDefault="00294134" w:rsidP="00294134">
      <w:pPr>
        <w:ind w:left="567" w:hanging="567"/>
        <w:jc w:val="both"/>
        <w:rPr>
          <w:b/>
          <w:sz w:val="24"/>
        </w:rPr>
      </w:pPr>
    </w:p>
    <w:p w:rsidR="00294134" w:rsidRDefault="00294134" w:rsidP="00294134">
      <w:pPr>
        <w:ind w:left="567" w:hanging="567"/>
        <w:jc w:val="both"/>
        <w:rPr>
          <w:sz w:val="24"/>
        </w:rPr>
      </w:pPr>
      <w:r>
        <w:rPr>
          <w:sz w:val="24"/>
        </w:rPr>
        <w:t xml:space="preserve">2.8 </w:t>
      </w:r>
      <w:r>
        <w:rPr>
          <w:sz w:val="24"/>
        </w:rPr>
        <w:tab/>
        <w:t xml:space="preserve">The major milestones were met in 2015. More detailed work is constantly underway on specific SUE action plans, which will focus in detail on actions to remove the barriers to the delivery of homes and jobs. This is work in progress and will always be a dynamic piece of work. It is </w:t>
      </w:r>
      <w:proofErr w:type="gramStart"/>
      <w:r>
        <w:rPr>
          <w:sz w:val="24"/>
        </w:rPr>
        <w:t>key</w:t>
      </w:r>
      <w:proofErr w:type="gramEnd"/>
      <w:r>
        <w:rPr>
          <w:sz w:val="24"/>
        </w:rPr>
        <w:t xml:space="preserve"> to get early sight of the issues to plan ahead and act to resolve the barriers, or to modify as things change.</w:t>
      </w:r>
    </w:p>
    <w:p w:rsidR="00294134" w:rsidRDefault="00294134" w:rsidP="00294134">
      <w:pPr>
        <w:ind w:left="567" w:hanging="567"/>
        <w:jc w:val="both"/>
        <w:rPr>
          <w:sz w:val="24"/>
        </w:rPr>
      </w:pPr>
    </w:p>
    <w:p w:rsidR="00294134" w:rsidRDefault="00294134" w:rsidP="00294134">
      <w:pPr>
        <w:ind w:left="567" w:hanging="567"/>
        <w:jc w:val="both"/>
        <w:rPr>
          <w:sz w:val="24"/>
        </w:rPr>
      </w:pPr>
      <w:r>
        <w:rPr>
          <w:sz w:val="24"/>
        </w:rPr>
        <w:t>2.9</w:t>
      </w:r>
      <w:r>
        <w:rPr>
          <w:sz w:val="24"/>
        </w:rPr>
        <w:tab/>
        <w:t>G</w:t>
      </w:r>
      <w:r>
        <w:rPr>
          <w:sz w:val="24"/>
        </w:rPr>
        <w:t>ood working arrangements with the developers are taking place to focus on delivery. Those discussions are having an impact on reducing the barriers, reducing the time to discharge conditions and approvals of S278/S38, drainage and strategic matters, although the highway S278/S38 time can still be improved upon.</w:t>
      </w:r>
    </w:p>
    <w:p w:rsidR="00294134" w:rsidRDefault="00294134" w:rsidP="00294134">
      <w:pPr>
        <w:ind w:left="567" w:hanging="567"/>
        <w:jc w:val="both"/>
        <w:rPr>
          <w:sz w:val="24"/>
        </w:rPr>
      </w:pPr>
    </w:p>
    <w:p w:rsidR="00294134" w:rsidRDefault="00294134" w:rsidP="00294134">
      <w:pPr>
        <w:ind w:left="567" w:hanging="567"/>
        <w:jc w:val="both"/>
        <w:rPr>
          <w:sz w:val="24"/>
        </w:rPr>
      </w:pPr>
      <w:r>
        <w:rPr>
          <w:sz w:val="24"/>
        </w:rPr>
        <w:t>2.10 The underspend (£120k) was created by being very mindful of the timing of any DCLG award allocation of further capacity funding for 2016/17 period and the likelihood that any award would be less than that made for the last allocation. Bearing this in mind, it was essential to ensure key elements of the above budget (staff resource) was committed to run until end of June/Sep. This also, allowed for some contingency to enable</w:t>
      </w:r>
      <w:r>
        <w:rPr>
          <w:sz w:val="24"/>
        </w:rPr>
        <w:t xml:space="preserve"> the JDU work to continue </w:t>
      </w:r>
      <w:r>
        <w:rPr>
          <w:sz w:val="24"/>
        </w:rPr>
        <w:t xml:space="preserve">until an award was made for 2016/2017. This was carried out successfully. Now that the award has been made the budget can be reset for July 16 to June 17. </w:t>
      </w:r>
    </w:p>
    <w:p w:rsidR="00294134" w:rsidRDefault="00294134" w:rsidP="00294134">
      <w:pPr>
        <w:ind w:left="567" w:hanging="567"/>
        <w:jc w:val="both"/>
        <w:rPr>
          <w:sz w:val="24"/>
        </w:rPr>
      </w:pPr>
    </w:p>
    <w:p w:rsidR="00294134" w:rsidRDefault="00294134" w:rsidP="00294134">
      <w:pPr>
        <w:ind w:left="567" w:hanging="567"/>
        <w:jc w:val="both"/>
        <w:rPr>
          <w:sz w:val="24"/>
        </w:rPr>
      </w:pPr>
      <w:r>
        <w:rPr>
          <w:sz w:val="24"/>
        </w:rPr>
        <w:t>2.11 This will involve carrying forward existing committed spend of £235k that was allocated from April up to September to cover the time delay in the award being made (made of salary, health, and other smaller costs such as expert advice). The hard task is to keep the momentum on delivery going forward.</w:t>
      </w:r>
    </w:p>
    <w:p w:rsidR="00294134" w:rsidRDefault="00294134" w:rsidP="00294134">
      <w:pPr>
        <w:jc w:val="both"/>
        <w:rPr>
          <w:sz w:val="24"/>
        </w:rPr>
      </w:pPr>
    </w:p>
    <w:p w:rsidR="00294134" w:rsidRDefault="00554B1C" w:rsidP="00554B1C">
      <w:pPr>
        <w:ind w:left="567"/>
        <w:jc w:val="both"/>
        <w:rPr>
          <w:b/>
          <w:sz w:val="24"/>
        </w:rPr>
      </w:pPr>
      <w:r>
        <w:rPr>
          <w:b/>
          <w:sz w:val="24"/>
        </w:rPr>
        <w:t xml:space="preserve">B - </w:t>
      </w:r>
      <w:r w:rsidR="00294134">
        <w:rPr>
          <w:b/>
          <w:sz w:val="24"/>
        </w:rPr>
        <w:t>New Capacity Bid 2016/2017</w:t>
      </w:r>
    </w:p>
    <w:p w:rsidR="00294134" w:rsidRDefault="00294134" w:rsidP="00294134">
      <w:pPr>
        <w:jc w:val="both"/>
        <w:rPr>
          <w:b/>
          <w:sz w:val="24"/>
        </w:rPr>
      </w:pPr>
    </w:p>
    <w:p w:rsidR="00294134" w:rsidRPr="003A33B2" w:rsidRDefault="00294134" w:rsidP="00294134">
      <w:pPr>
        <w:ind w:left="567" w:hanging="567"/>
        <w:jc w:val="both"/>
        <w:rPr>
          <w:sz w:val="24"/>
        </w:rPr>
      </w:pPr>
      <w:r w:rsidRPr="0062344F">
        <w:rPr>
          <w:sz w:val="24"/>
        </w:rPr>
        <w:t>2.1</w:t>
      </w:r>
      <w:r>
        <w:rPr>
          <w:sz w:val="24"/>
        </w:rPr>
        <w:t>2</w:t>
      </w:r>
      <w:r>
        <w:rPr>
          <w:b/>
          <w:sz w:val="24"/>
        </w:rPr>
        <w:tab/>
      </w:r>
      <w:r>
        <w:rPr>
          <w:sz w:val="24"/>
        </w:rPr>
        <w:t>A new bid was submitted to DCLG in early Jan 2016. An award was made in June for £250k for just one year 2016/17 and not the two years as requested. The financial money is yet to arrive, so caution is required.  This was a little disappointing given the scale of growth in the area and what is in progress or coming forward at a pre-application stage, along with a garden village within East Northamptonshire (which is subject to a separate bidding process).</w:t>
      </w:r>
    </w:p>
    <w:p w:rsidR="00294134" w:rsidRDefault="00294134" w:rsidP="00294134">
      <w:pPr>
        <w:jc w:val="both"/>
        <w:rPr>
          <w:sz w:val="24"/>
        </w:rPr>
      </w:pPr>
    </w:p>
    <w:p w:rsidR="00294134" w:rsidRDefault="00294134" w:rsidP="00294134">
      <w:pPr>
        <w:ind w:left="567" w:hanging="567"/>
        <w:jc w:val="both"/>
        <w:rPr>
          <w:sz w:val="24"/>
        </w:rPr>
      </w:pPr>
      <w:r>
        <w:rPr>
          <w:sz w:val="24"/>
        </w:rPr>
        <w:t>2.13</w:t>
      </w:r>
      <w:r>
        <w:rPr>
          <w:sz w:val="24"/>
        </w:rPr>
        <w:tab/>
        <w:t>Discussions have been taking place with DCLG and officers to combine the current underspend of £120k with the £250k, to give a budget of £370k, which is not committed already. The overall budget</w:t>
      </w:r>
      <w:r w:rsidR="00554B1C">
        <w:rPr>
          <w:sz w:val="24"/>
        </w:rPr>
        <w:t xml:space="preserve"> </w:t>
      </w:r>
      <w:r>
        <w:rPr>
          <w:sz w:val="24"/>
        </w:rPr>
        <w:t xml:space="preserve">will </w:t>
      </w:r>
      <w:r w:rsidR="00554B1C">
        <w:rPr>
          <w:sz w:val="24"/>
        </w:rPr>
        <w:t xml:space="preserve">now </w:t>
      </w:r>
      <w:r>
        <w:rPr>
          <w:sz w:val="24"/>
        </w:rPr>
        <w:t>be £605k for the following year July 2016 to June 2017.  Bearing in mind, the existing committed spend  that is already running forward to September and the need to keep the seconded staff focused on delivery take up the largest costs (£331k).  But given those committed spends and the underspend, plus the award enables the JDU to  continue with the current seconded staff arrangements, highway priority work, and a relatively small amount to cover legal, viability and some consultancy costs, until June next year.</w:t>
      </w:r>
    </w:p>
    <w:p w:rsidR="00294134" w:rsidRDefault="00294134" w:rsidP="00294134">
      <w:pPr>
        <w:ind w:left="567" w:hanging="567"/>
        <w:jc w:val="both"/>
        <w:rPr>
          <w:sz w:val="24"/>
        </w:rPr>
      </w:pPr>
    </w:p>
    <w:p w:rsidR="00294134" w:rsidRDefault="00294134" w:rsidP="00294134">
      <w:pPr>
        <w:ind w:left="567" w:hanging="567"/>
        <w:jc w:val="both"/>
        <w:rPr>
          <w:sz w:val="24"/>
        </w:rPr>
      </w:pPr>
      <w:r>
        <w:rPr>
          <w:sz w:val="24"/>
        </w:rPr>
        <w:t xml:space="preserve">2.14 The amount left for the various non staffing costs, as stated is small (£128k not allocated yet) and is likely to be insufficient for the following 12 months (June 2017), which means at some stage certain work, such as design, legal, expertise or viability elements may have to pause or stop.  The five authorities approach to date still relies on the five authorities making a considerable commitment and financial contribution to overall costs, as was clearly set out as part of the bid document. This will have an impact on what can be achieved but the five </w:t>
      </w:r>
      <w:r>
        <w:rPr>
          <w:sz w:val="24"/>
        </w:rPr>
        <w:lastRenderedPageBreak/>
        <w:t>authorities are committed and focused on the key work of delivery both for the current consented SUE’s and the SUE’s that are at pre-application stage.</w:t>
      </w:r>
    </w:p>
    <w:p w:rsidR="00294134" w:rsidRDefault="00294134" w:rsidP="00294134">
      <w:pPr>
        <w:jc w:val="both"/>
        <w:rPr>
          <w:sz w:val="24"/>
        </w:rPr>
      </w:pPr>
    </w:p>
    <w:p w:rsidR="00294134" w:rsidRDefault="00294134" w:rsidP="00294134">
      <w:pPr>
        <w:ind w:left="567" w:hanging="567"/>
        <w:jc w:val="both"/>
        <w:rPr>
          <w:sz w:val="24"/>
        </w:rPr>
      </w:pPr>
      <w:r>
        <w:rPr>
          <w:sz w:val="24"/>
        </w:rPr>
        <w:t>2.15</w:t>
      </w:r>
      <w:r>
        <w:rPr>
          <w:sz w:val="24"/>
        </w:rPr>
        <w:tab/>
        <w:t xml:space="preserve">Other funding opportunities are being sought from other sources, including SEMLEP and HCA.  Given that these large sites take time to get started and considerable effort and resource to keep moving forward.  We will continue to press for a two year funding allocation. </w:t>
      </w:r>
    </w:p>
    <w:p w:rsidR="00294134" w:rsidRDefault="00294134" w:rsidP="00294134">
      <w:pPr>
        <w:ind w:left="720" w:hanging="720"/>
        <w:jc w:val="both"/>
        <w:rPr>
          <w:sz w:val="24"/>
        </w:rPr>
      </w:pPr>
    </w:p>
    <w:p w:rsidR="00294134" w:rsidRDefault="00294134" w:rsidP="00294134">
      <w:pPr>
        <w:ind w:left="567" w:hanging="567"/>
        <w:jc w:val="both"/>
        <w:rPr>
          <w:sz w:val="24"/>
        </w:rPr>
      </w:pPr>
      <w:r>
        <w:rPr>
          <w:sz w:val="24"/>
        </w:rPr>
        <w:t>2.16 The two year approach will reduce the risk of a stop start process of removing or reducing the barriers to delivery.  This would demonstrate commitment from all parties in the delivery of this large growth agenda and provide the much needed quality homes, jobs and key infrastructure to the North Northamptonshire area. This will at the same time help build confidence that delivery will take place on a consistent basis.</w:t>
      </w:r>
      <w:r w:rsidR="00554B1C">
        <w:rPr>
          <w:sz w:val="24"/>
        </w:rPr>
        <w:t xml:space="preserve"> This reduces considerably</w:t>
      </w:r>
      <w:r>
        <w:rPr>
          <w:sz w:val="24"/>
        </w:rPr>
        <w:t xml:space="preserve"> the arguments about viability lessening quality of the homes and the overall environment that is being created over the next 20 years or so. </w:t>
      </w:r>
    </w:p>
    <w:p w:rsidR="00294134" w:rsidRDefault="00294134" w:rsidP="002E290E">
      <w:pPr>
        <w:jc w:val="both"/>
        <w:rPr>
          <w:sz w:val="24"/>
          <w:u w:val="single"/>
        </w:rPr>
      </w:pPr>
    </w:p>
    <w:p w:rsidR="00C67444" w:rsidRPr="003D1267" w:rsidRDefault="00C67444" w:rsidP="00C67444">
      <w:pPr>
        <w:pStyle w:val="ListParagraph"/>
        <w:spacing w:after="0" w:line="240" w:lineRule="auto"/>
        <w:ind w:left="360" w:hanging="360"/>
        <w:jc w:val="both"/>
        <w:rPr>
          <w:rFonts w:ascii="Arial" w:hAnsi="Arial" w:cs="Arial"/>
          <w:sz w:val="24"/>
          <w:szCs w:val="24"/>
        </w:rPr>
      </w:pPr>
      <w:r w:rsidRPr="00C67444">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31667163" wp14:editId="4218B04B">
                <wp:simplePos x="0" y="0"/>
                <wp:positionH relativeFrom="column">
                  <wp:posOffset>-114300</wp:posOffset>
                </wp:positionH>
                <wp:positionV relativeFrom="paragraph">
                  <wp:posOffset>16510</wp:posOffset>
                </wp:positionV>
                <wp:extent cx="5857875" cy="1114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14425"/>
                        </a:xfrm>
                        <a:prstGeom prst="rect">
                          <a:avLst/>
                        </a:prstGeom>
                        <a:solidFill>
                          <a:srgbClr val="FFFFFF"/>
                        </a:solidFill>
                        <a:ln w="9525">
                          <a:solidFill>
                            <a:srgbClr val="000000"/>
                          </a:solidFill>
                          <a:miter lim="800000"/>
                          <a:headEnd/>
                          <a:tailEnd/>
                        </a:ln>
                      </wps:spPr>
                      <wps:txbx>
                        <w:txbxContent>
                          <w:p w:rsidR="00C67444" w:rsidRDefault="00C67444" w:rsidP="00C67444">
                            <w:pPr>
                              <w:ind w:left="567" w:hanging="567"/>
                              <w:rPr>
                                <w:b/>
                                <w:sz w:val="24"/>
                                <w:szCs w:val="24"/>
                                <w:u w:val="single"/>
                              </w:rPr>
                            </w:pPr>
                            <w:r w:rsidRPr="00C67444">
                              <w:rPr>
                                <w:b/>
                                <w:sz w:val="24"/>
                                <w:szCs w:val="24"/>
                              </w:rPr>
                              <w:t>3.</w:t>
                            </w:r>
                            <w:r w:rsidRPr="00C67444">
                              <w:rPr>
                                <w:b/>
                                <w:sz w:val="24"/>
                                <w:szCs w:val="24"/>
                              </w:rPr>
                              <w:tab/>
                            </w:r>
                            <w:r>
                              <w:rPr>
                                <w:b/>
                                <w:sz w:val="24"/>
                                <w:szCs w:val="24"/>
                                <w:u w:val="single"/>
                              </w:rPr>
                              <w:t>RECOMMENDATION</w:t>
                            </w:r>
                          </w:p>
                          <w:p w:rsidR="00C67444" w:rsidRDefault="00C67444" w:rsidP="00C67444">
                            <w:pPr>
                              <w:ind w:left="567" w:hanging="567"/>
                              <w:rPr>
                                <w:b/>
                                <w:sz w:val="24"/>
                                <w:szCs w:val="24"/>
                                <w:u w:val="single"/>
                              </w:rPr>
                            </w:pPr>
                          </w:p>
                          <w:p w:rsidR="00554B1C" w:rsidRPr="00554B1C" w:rsidRDefault="00554B1C" w:rsidP="00554B1C">
                            <w:pPr>
                              <w:ind w:left="567" w:hanging="567"/>
                              <w:jc w:val="both"/>
                            </w:pPr>
                            <w:r>
                              <w:rPr>
                                <w:sz w:val="24"/>
                                <w:szCs w:val="24"/>
                              </w:rPr>
                              <w:t>3.1</w:t>
                            </w:r>
                            <w:r>
                              <w:rPr>
                                <w:sz w:val="24"/>
                                <w:szCs w:val="24"/>
                              </w:rPr>
                              <w:tab/>
                            </w:r>
                            <w:r w:rsidRPr="00554B1C">
                              <w:rPr>
                                <w:sz w:val="24"/>
                              </w:rPr>
                              <w:t>To note the progress</w:t>
                            </w:r>
                            <w:r>
                              <w:rPr>
                                <w:sz w:val="24"/>
                              </w:rPr>
                              <w:t xml:space="preserve"> made and the </w:t>
                            </w:r>
                            <w:r w:rsidRPr="00554B1C">
                              <w:rPr>
                                <w:sz w:val="24"/>
                              </w:rPr>
                              <w:t>underspend of £120k</w:t>
                            </w:r>
                          </w:p>
                          <w:p w:rsidR="00554B1C" w:rsidRDefault="00554B1C" w:rsidP="00554B1C">
                            <w:pPr>
                              <w:spacing w:afterLines="50" w:after="120"/>
                              <w:jc w:val="both"/>
                              <w:rPr>
                                <w:sz w:val="24"/>
                              </w:rPr>
                            </w:pPr>
                          </w:p>
                          <w:p w:rsidR="00C67444" w:rsidRPr="00C67444" w:rsidRDefault="00554B1C" w:rsidP="00554B1C">
                            <w:pPr>
                              <w:spacing w:afterLines="50" w:after="120"/>
                              <w:ind w:left="567" w:hanging="567"/>
                              <w:jc w:val="both"/>
                              <w:rPr>
                                <w:sz w:val="24"/>
                                <w:szCs w:val="24"/>
                              </w:rPr>
                            </w:pPr>
                            <w:r>
                              <w:rPr>
                                <w:sz w:val="24"/>
                              </w:rPr>
                              <w:t>3.2</w:t>
                            </w:r>
                            <w:r>
                              <w:rPr>
                                <w:sz w:val="24"/>
                              </w:rPr>
                              <w:tab/>
                              <w:t>To note the new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1.3pt;width:461.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">
                <v:textbox>
                  <w:txbxContent>
                    <w:p w:rsidR="00C67444" w:rsidRDefault="00C67444" w:rsidP="00C67444">
                      <w:pPr>
                        <w:ind w:left="567" w:hanging="567"/>
                        <w:rPr>
                          <w:b/>
                          <w:sz w:val="24"/>
                          <w:szCs w:val="24"/>
                          <w:u w:val="single"/>
                        </w:rPr>
                      </w:pPr>
                      <w:r w:rsidRPr="00C67444">
                        <w:rPr>
                          <w:b/>
                          <w:sz w:val="24"/>
                          <w:szCs w:val="24"/>
                        </w:rPr>
                        <w:t>3.</w:t>
                      </w:r>
                      <w:r w:rsidRPr="00C67444">
                        <w:rPr>
                          <w:b/>
                          <w:sz w:val="24"/>
                          <w:szCs w:val="24"/>
                        </w:rPr>
                        <w:tab/>
                      </w:r>
                      <w:r>
                        <w:rPr>
                          <w:b/>
                          <w:sz w:val="24"/>
                          <w:szCs w:val="24"/>
                          <w:u w:val="single"/>
                        </w:rPr>
                        <w:t>RECOMMENDATION</w:t>
                      </w:r>
                    </w:p>
                    <w:p w:rsidR="00C67444" w:rsidRDefault="00C67444" w:rsidP="00C67444">
                      <w:pPr>
                        <w:ind w:left="567" w:hanging="567"/>
                        <w:rPr>
                          <w:b/>
                          <w:sz w:val="24"/>
                          <w:szCs w:val="24"/>
                          <w:u w:val="single"/>
                        </w:rPr>
                      </w:pPr>
                    </w:p>
                    <w:p w:rsidR="00554B1C" w:rsidRPr="00554B1C" w:rsidRDefault="00554B1C" w:rsidP="00554B1C">
                      <w:pPr>
                        <w:ind w:left="567" w:hanging="567"/>
                        <w:jc w:val="both"/>
                      </w:pPr>
                      <w:r>
                        <w:rPr>
                          <w:sz w:val="24"/>
                          <w:szCs w:val="24"/>
                        </w:rPr>
                        <w:t>3.1</w:t>
                      </w:r>
                      <w:r>
                        <w:rPr>
                          <w:sz w:val="24"/>
                          <w:szCs w:val="24"/>
                        </w:rPr>
                        <w:tab/>
                      </w:r>
                      <w:r w:rsidRPr="00554B1C">
                        <w:rPr>
                          <w:sz w:val="24"/>
                        </w:rPr>
                        <w:t>To note the progress</w:t>
                      </w:r>
                      <w:r>
                        <w:rPr>
                          <w:sz w:val="24"/>
                        </w:rPr>
                        <w:t xml:space="preserve"> made and the </w:t>
                      </w:r>
                      <w:r w:rsidRPr="00554B1C">
                        <w:rPr>
                          <w:sz w:val="24"/>
                        </w:rPr>
                        <w:t>underspend of £120k</w:t>
                      </w:r>
                    </w:p>
                    <w:p w:rsidR="00554B1C" w:rsidRDefault="00554B1C" w:rsidP="00554B1C">
                      <w:pPr>
                        <w:spacing w:afterLines="50" w:after="120"/>
                        <w:jc w:val="both"/>
                        <w:rPr>
                          <w:sz w:val="24"/>
                        </w:rPr>
                      </w:pPr>
                    </w:p>
                    <w:p w:rsidR="00C67444" w:rsidRPr="00C67444" w:rsidRDefault="00554B1C" w:rsidP="00554B1C">
                      <w:pPr>
                        <w:spacing w:afterLines="50" w:after="120"/>
                        <w:ind w:left="567" w:hanging="567"/>
                        <w:jc w:val="both"/>
                        <w:rPr>
                          <w:sz w:val="24"/>
                          <w:szCs w:val="24"/>
                        </w:rPr>
                      </w:pPr>
                      <w:r>
                        <w:rPr>
                          <w:sz w:val="24"/>
                        </w:rPr>
                        <w:t>3.2</w:t>
                      </w:r>
                      <w:r>
                        <w:rPr>
                          <w:sz w:val="24"/>
                        </w:rPr>
                        <w:tab/>
                        <w:t>To note the new budget</w:t>
                      </w:r>
                    </w:p>
                  </w:txbxContent>
                </v:textbox>
              </v:shape>
            </w:pict>
          </mc:Fallback>
        </mc:AlternateContent>
      </w:r>
    </w:p>
    <w:sectPr w:rsidR="00C67444" w:rsidRPr="003D1267" w:rsidSect="00FC6EB9">
      <w:headerReference w:type="default" r:id="rId9"/>
      <w:headerReference w:type="first" r:id="rId10"/>
      <w:pgSz w:w="11906" w:h="16838" w:code="9"/>
      <w:pgMar w:top="1134" w:right="1134" w:bottom="709"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45" w:rsidRDefault="00F97445">
      <w:r>
        <w:separator/>
      </w:r>
    </w:p>
  </w:endnote>
  <w:endnote w:type="continuationSeparator" w:id="0">
    <w:p w:rsidR="00F97445" w:rsidRDefault="00F9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rton">
    <w:altName w:val="Carto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45" w:rsidRDefault="00F97445">
      <w:r>
        <w:separator/>
      </w:r>
    </w:p>
  </w:footnote>
  <w:footnote w:type="continuationSeparator" w:id="0">
    <w:p w:rsidR="00F97445" w:rsidRDefault="00F97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526"/>
      <w:gridCol w:w="5386"/>
      <w:gridCol w:w="1276"/>
      <w:gridCol w:w="992"/>
    </w:tblGrid>
    <w:tr w:rsidR="001D4DFB" w:rsidRPr="008E603D" w:rsidTr="00610B3B">
      <w:trPr>
        <w:cantSplit/>
      </w:trPr>
      <w:tc>
        <w:tcPr>
          <w:tcW w:w="9180" w:type="dxa"/>
          <w:gridSpan w:val="4"/>
        </w:tcPr>
        <w:p w:rsidR="001D4DFB" w:rsidRPr="008E603D" w:rsidRDefault="001D4DFB" w:rsidP="00610B3B">
          <w:pPr>
            <w:pStyle w:val="Header"/>
            <w:jc w:val="center"/>
            <w:rPr>
              <w:b/>
              <w:sz w:val="24"/>
              <w:lang w:val="it-IT"/>
            </w:rPr>
          </w:pPr>
          <w:r w:rsidRPr="008E603D">
            <w:rPr>
              <w:b/>
              <w:sz w:val="24"/>
              <w:lang w:val="it-IT"/>
            </w:rPr>
            <w:t>B O R O U G H   O F  K E T T E R I N G</w:t>
          </w:r>
          <w:r>
            <w:rPr>
              <w:b/>
              <w:sz w:val="24"/>
              <w:lang w:val="it-IT"/>
            </w:rPr>
            <w:t xml:space="preserve">                                             </w:t>
          </w:r>
        </w:p>
      </w:tc>
    </w:tr>
    <w:tr w:rsidR="001D4DFB" w:rsidRPr="0082681A" w:rsidTr="00610B3B">
      <w:tc>
        <w:tcPr>
          <w:tcW w:w="1526"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spacing w:before="120"/>
            <w:rPr>
              <w:b/>
              <w:sz w:val="24"/>
            </w:rPr>
          </w:pPr>
        </w:p>
      </w:tc>
      <w:tc>
        <w:tcPr>
          <w:tcW w:w="5386"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spacing w:before="240"/>
            <w:rPr>
              <w:rFonts w:ascii="Arial Black" w:hAnsi="Arial Black"/>
              <w:sz w:val="24"/>
              <w:szCs w:val="24"/>
            </w:rPr>
          </w:pPr>
          <w:r>
            <w:rPr>
              <w:rFonts w:ascii="Arial Black" w:hAnsi="Arial Black"/>
              <w:sz w:val="24"/>
              <w:szCs w:val="24"/>
            </w:rPr>
            <w:t>NORTH NORTHAMPTONSHIRE</w:t>
          </w:r>
        </w:p>
        <w:p w:rsidR="001D4DFB" w:rsidRPr="003B409D" w:rsidRDefault="001D4DFB" w:rsidP="00C67444">
          <w:pPr>
            <w:pStyle w:val="Header"/>
            <w:rPr>
              <w:rFonts w:ascii="Arial Black" w:hAnsi="Arial Black"/>
              <w:sz w:val="24"/>
            </w:rPr>
          </w:pPr>
          <w:r>
            <w:rPr>
              <w:rFonts w:ascii="Arial Black" w:hAnsi="Arial Black"/>
              <w:sz w:val="24"/>
              <w:szCs w:val="24"/>
            </w:rPr>
            <w:t>JOINT DELIVERY COMMITTEE</w:t>
          </w:r>
        </w:p>
        <w:p w:rsidR="001D4DFB" w:rsidRDefault="001D4DFB" w:rsidP="00610B3B">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jc w:val="center"/>
            <w:rPr>
              <w:sz w:val="24"/>
            </w:rPr>
          </w:pPr>
          <w:r>
            <w:rPr>
              <w:sz w:val="24"/>
            </w:rPr>
            <w:t xml:space="preserve">Item </w:t>
          </w:r>
        </w:p>
        <w:p w:rsidR="001D4DFB" w:rsidRDefault="001D4DFB" w:rsidP="00610B3B">
          <w:pPr>
            <w:pStyle w:val="Header"/>
            <w:jc w:val="center"/>
            <w:rPr>
              <w:sz w:val="24"/>
            </w:rPr>
          </w:pPr>
        </w:p>
        <w:p w:rsidR="001D4DFB" w:rsidRDefault="001F3A1D" w:rsidP="00610B3B">
          <w:pPr>
            <w:pStyle w:val="Header"/>
            <w:jc w:val="center"/>
            <w:rPr>
              <w:sz w:val="24"/>
            </w:rPr>
          </w:pPr>
          <w:r>
            <w:rPr>
              <w:sz w:val="24"/>
            </w:rPr>
            <w:t>4</w:t>
          </w:r>
        </w:p>
        <w:p w:rsidR="001D4DFB" w:rsidRDefault="001D4DFB" w:rsidP="00610B3B">
          <w:pPr>
            <w:pStyle w:val="Heade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1D4DFB" w:rsidRPr="001D4DFB" w:rsidRDefault="001D4DFB" w:rsidP="00610B3B">
          <w:pPr>
            <w:pStyle w:val="Header"/>
            <w:ind w:right="-108"/>
            <w:jc w:val="center"/>
            <w:rPr>
              <w:snapToGrid w:val="0"/>
              <w:sz w:val="24"/>
              <w:szCs w:val="24"/>
            </w:rPr>
          </w:pPr>
          <w:r w:rsidRPr="001D4DFB">
            <w:rPr>
              <w:snapToGrid w:val="0"/>
              <w:sz w:val="24"/>
              <w:szCs w:val="24"/>
            </w:rPr>
            <w:t xml:space="preserve">Page </w:t>
          </w:r>
          <w:r w:rsidRPr="001D4DFB">
            <w:rPr>
              <w:snapToGrid w:val="0"/>
              <w:sz w:val="24"/>
              <w:szCs w:val="24"/>
            </w:rPr>
            <w:fldChar w:fldCharType="begin"/>
          </w:r>
          <w:r w:rsidRPr="001D4DFB">
            <w:rPr>
              <w:snapToGrid w:val="0"/>
              <w:sz w:val="24"/>
              <w:szCs w:val="24"/>
            </w:rPr>
            <w:instrText xml:space="preserve"> PAGE </w:instrText>
          </w:r>
          <w:r w:rsidRPr="001D4DFB">
            <w:rPr>
              <w:snapToGrid w:val="0"/>
              <w:sz w:val="24"/>
              <w:szCs w:val="24"/>
            </w:rPr>
            <w:fldChar w:fldCharType="separate"/>
          </w:r>
          <w:r w:rsidR="00554B1C">
            <w:rPr>
              <w:noProof/>
              <w:snapToGrid w:val="0"/>
              <w:sz w:val="24"/>
              <w:szCs w:val="24"/>
            </w:rPr>
            <w:t>2</w:t>
          </w:r>
          <w:r w:rsidRPr="001D4DFB">
            <w:rPr>
              <w:snapToGrid w:val="0"/>
              <w:sz w:val="24"/>
              <w:szCs w:val="24"/>
            </w:rPr>
            <w:fldChar w:fldCharType="end"/>
          </w:r>
          <w:r w:rsidRPr="001D4DFB">
            <w:rPr>
              <w:snapToGrid w:val="0"/>
              <w:sz w:val="24"/>
              <w:szCs w:val="24"/>
            </w:rPr>
            <w:t xml:space="preserve"> </w:t>
          </w:r>
        </w:p>
      </w:tc>
    </w:tr>
  </w:tbl>
  <w:p w:rsidR="001D4DFB" w:rsidRDefault="001D4DFB" w:rsidP="001D4DFB">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34"/>
      <w:gridCol w:w="1809"/>
      <w:gridCol w:w="4395"/>
      <w:gridCol w:w="1559"/>
      <w:gridCol w:w="1383"/>
      <w:gridCol w:w="34"/>
    </w:tblGrid>
    <w:tr w:rsidR="001C74B7" w:rsidTr="001D4DFB">
      <w:trPr>
        <w:gridAfter w:val="1"/>
        <w:wAfter w:w="34" w:type="dxa"/>
        <w:cantSplit/>
      </w:trPr>
      <w:tc>
        <w:tcPr>
          <w:tcW w:w="9180" w:type="dxa"/>
          <w:gridSpan w:val="5"/>
        </w:tcPr>
        <w:p w:rsidR="001C74B7" w:rsidRDefault="001C74B7">
          <w:pPr>
            <w:pStyle w:val="Header"/>
            <w:jc w:val="center"/>
            <w:rPr>
              <w:b/>
              <w:sz w:val="24"/>
            </w:rPr>
          </w:pPr>
        </w:p>
      </w:tc>
    </w:tr>
    <w:tr w:rsidR="001D4DFB" w:rsidRPr="008E603D" w:rsidTr="001D4DFB">
      <w:trPr>
        <w:gridBefore w:val="1"/>
        <w:wBefore w:w="34" w:type="dxa"/>
        <w:cantSplit/>
      </w:trPr>
      <w:tc>
        <w:tcPr>
          <w:tcW w:w="9180" w:type="dxa"/>
          <w:gridSpan w:val="5"/>
        </w:tcPr>
        <w:p w:rsidR="001D4DFB" w:rsidRPr="008E603D" w:rsidRDefault="001D4DFB" w:rsidP="00610B3B">
          <w:pPr>
            <w:pStyle w:val="Header"/>
            <w:jc w:val="center"/>
            <w:rPr>
              <w:b/>
              <w:sz w:val="24"/>
              <w:lang w:val="it-IT"/>
            </w:rPr>
          </w:pPr>
        </w:p>
      </w:tc>
    </w:tr>
    <w:tr w:rsidR="001D4DFB" w:rsidTr="001D4DFB">
      <w:trPr>
        <w:gridBefore w:val="1"/>
        <w:wBefore w:w="34" w:type="dxa"/>
      </w:trPr>
      <w:tc>
        <w:tcPr>
          <w:tcW w:w="6204" w:type="dxa"/>
          <w:gridSpan w:val="2"/>
          <w:tcBorders>
            <w:top w:val="single" w:sz="4" w:space="0" w:color="auto"/>
            <w:left w:val="single" w:sz="4" w:space="0" w:color="auto"/>
            <w:bottom w:val="single" w:sz="4" w:space="0" w:color="auto"/>
            <w:right w:val="single" w:sz="4" w:space="0" w:color="auto"/>
          </w:tcBorders>
        </w:tcPr>
        <w:p w:rsidR="001D4DFB" w:rsidRDefault="001D4DFB" w:rsidP="00610B3B">
          <w:pPr>
            <w:pStyle w:val="Header"/>
            <w:spacing w:before="240"/>
            <w:rPr>
              <w:rFonts w:ascii="Arial Black" w:hAnsi="Arial Black"/>
              <w:sz w:val="24"/>
              <w:szCs w:val="24"/>
            </w:rPr>
          </w:pPr>
          <w:r>
            <w:rPr>
              <w:rFonts w:ascii="Arial Black" w:hAnsi="Arial Black"/>
              <w:sz w:val="24"/>
              <w:szCs w:val="24"/>
            </w:rPr>
            <w:t>NORTH NORTHAMPTONSHIRE</w:t>
          </w:r>
        </w:p>
        <w:p w:rsidR="001D4DFB" w:rsidRPr="00F73355" w:rsidRDefault="001D4DFB" w:rsidP="00610B3B">
          <w:pPr>
            <w:pStyle w:val="Header"/>
            <w:spacing w:after="240"/>
            <w:rPr>
              <w:rFonts w:ascii="Arial Black" w:hAnsi="Arial Black"/>
              <w:sz w:val="24"/>
              <w:szCs w:val="24"/>
            </w:rPr>
          </w:pPr>
          <w:r>
            <w:rPr>
              <w:rFonts w:ascii="Arial Black" w:hAnsi="Arial Black"/>
              <w:sz w:val="24"/>
              <w:szCs w:val="24"/>
            </w:rPr>
            <w:t>JOINT DELIVERY COMMITTEE</w:t>
          </w:r>
        </w:p>
      </w:tc>
      <w:tc>
        <w:tcPr>
          <w:tcW w:w="1559" w:type="dxa"/>
          <w:tcBorders>
            <w:top w:val="single" w:sz="4" w:space="0" w:color="auto"/>
            <w:left w:val="single" w:sz="4" w:space="0" w:color="auto"/>
            <w:bottom w:val="single" w:sz="4" w:space="0" w:color="auto"/>
            <w:right w:val="single" w:sz="4" w:space="0" w:color="auto"/>
          </w:tcBorders>
        </w:tcPr>
        <w:p w:rsidR="001D4DFB" w:rsidRPr="001474F1" w:rsidRDefault="001D4DFB" w:rsidP="00610B3B">
          <w:pPr>
            <w:pStyle w:val="Header"/>
            <w:jc w:val="center"/>
            <w:rPr>
              <w:sz w:val="24"/>
              <w:szCs w:val="24"/>
            </w:rPr>
          </w:pPr>
          <w:r w:rsidRPr="001474F1">
            <w:rPr>
              <w:sz w:val="24"/>
              <w:szCs w:val="24"/>
            </w:rPr>
            <w:t xml:space="preserve">Item </w:t>
          </w:r>
        </w:p>
        <w:p w:rsidR="001D4DFB" w:rsidRPr="001474F1" w:rsidRDefault="001D4DFB" w:rsidP="00610B3B">
          <w:pPr>
            <w:rPr>
              <w:sz w:val="24"/>
              <w:szCs w:val="24"/>
            </w:rPr>
          </w:pPr>
        </w:p>
        <w:p w:rsidR="001D4DFB" w:rsidRPr="00C67444" w:rsidRDefault="00294134" w:rsidP="00610B3B">
          <w:pPr>
            <w:jc w:val="center"/>
            <w:rPr>
              <w:sz w:val="24"/>
              <w:szCs w:val="24"/>
            </w:rPr>
          </w:pPr>
          <w:r>
            <w:rPr>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1D4DFB" w:rsidRDefault="001D4DFB" w:rsidP="00610B3B">
          <w:pPr>
            <w:pStyle w:val="Header"/>
            <w:jc w:val="center"/>
            <w:rPr>
              <w:sz w:val="24"/>
            </w:rPr>
          </w:pPr>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554B1C">
            <w:rPr>
              <w:noProof/>
              <w:snapToGrid w:val="0"/>
              <w:sz w:val="24"/>
            </w:rPr>
            <w:t>1</w:t>
          </w:r>
          <w:r>
            <w:rPr>
              <w:snapToGrid w:val="0"/>
              <w:sz w:val="24"/>
            </w:rPr>
            <w:fldChar w:fldCharType="end"/>
          </w:r>
          <w:r>
            <w:rPr>
              <w:snapToGrid w:val="0"/>
              <w:sz w:val="24"/>
            </w:rPr>
            <w:t xml:space="preserve"> </w:t>
          </w:r>
        </w:p>
      </w:tc>
    </w:tr>
    <w:tr w:rsidR="001D4DFB" w:rsidTr="001D4DFB">
      <w:trPr>
        <w:gridBefore w:val="1"/>
        <w:wBefore w:w="34" w:type="dxa"/>
        <w:cantSplit/>
      </w:trPr>
      <w:tc>
        <w:tcPr>
          <w:tcW w:w="1809"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rPr>
              <w:b/>
              <w:sz w:val="24"/>
            </w:rPr>
          </w:pPr>
          <w:r>
            <w:rPr>
              <w:b/>
              <w:sz w:val="24"/>
            </w:rPr>
            <w:t>Councils Affected</w:t>
          </w:r>
        </w:p>
      </w:tc>
      <w:tc>
        <w:tcPr>
          <w:tcW w:w="4395"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rPr>
              <w:sz w:val="24"/>
            </w:rPr>
          </w:pPr>
          <w:r>
            <w:rPr>
              <w:sz w:val="24"/>
            </w:rPr>
            <w:t>All</w:t>
          </w:r>
        </w:p>
      </w:tc>
      <w:tc>
        <w:tcPr>
          <w:tcW w:w="2976" w:type="dxa"/>
          <w:gridSpan w:val="3"/>
          <w:tcBorders>
            <w:top w:val="single" w:sz="4" w:space="0" w:color="auto"/>
            <w:left w:val="single" w:sz="4" w:space="0" w:color="auto"/>
            <w:bottom w:val="single" w:sz="4" w:space="0" w:color="auto"/>
            <w:right w:val="single" w:sz="4" w:space="0" w:color="auto"/>
          </w:tcBorders>
        </w:tcPr>
        <w:p w:rsidR="001D4DFB" w:rsidRPr="002C668F" w:rsidRDefault="00294134" w:rsidP="0009536C">
          <w:pPr>
            <w:pStyle w:val="Header"/>
            <w:rPr>
              <w:bCs/>
              <w:sz w:val="24"/>
            </w:rPr>
          </w:pPr>
          <w:r>
            <w:rPr>
              <w:bCs/>
              <w:sz w:val="24"/>
            </w:rPr>
            <w:t>9</w:t>
          </w:r>
          <w:r w:rsidRPr="00294134">
            <w:rPr>
              <w:bCs/>
              <w:sz w:val="24"/>
              <w:vertAlign w:val="superscript"/>
            </w:rPr>
            <w:t>th</w:t>
          </w:r>
          <w:r>
            <w:rPr>
              <w:bCs/>
              <w:sz w:val="24"/>
            </w:rPr>
            <w:t xml:space="preserve"> August 2016</w:t>
          </w:r>
          <w:r w:rsidR="0009536C">
            <w:rPr>
              <w:bCs/>
              <w:sz w:val="24"/>
            </w:rPr>
            <w:t xml:space="preserve"> </w:t>
          </w:r>
        </w:p>
      </w:tc>
    </w:tr>
    <w:tr w:rsidR="001D4DFB" w:rsidTr="001D4DFB">
      <w:trPr>
        <w:gridBefore w:val="1"/>
        <w:wBefore w:w="34" w:type="dxa"/>
        <w:cantSplit/>
      </w:trPr>
      <w:tc>
        <w:tcPr>
          <w:tcW w:w="1809"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rPr>
              <w:b/>
              <w:sz w:val="24"/>
            </w:rPr>
          </w:pPr>
          <w:r>
            <w:rPr>
              <w:b/>
              <w:sz w:val="24"/>
            </w:rPr>
            <w:t>Report Title</w:t>
          </w:r>
        </w:p>
        <w:p w:rsidR="001D4DFB" w:rsidRDefault="001D4DFB" w:rsidP="00610B3B">
          <w:pPr>
            <w:pStyle w:val="Header"/>
            <w:rPr>
              <w:b/>
              <w:sz w:val="24"/>
            </w:rPr>
          </w:pPr>
        </w:p>
      </w:tc>
      <w:tc>
        <w:tcPr>
          <w:tcW w:w="7371" w:type="dxa"/>
          <w:gridSpan w:val="4"/>
          <w:tcBorders>
            <w:top w:val="single" w:sz="4" w:space="0" w:color="auto"/>
            <w:left w:val="single" w:sz="4" w:space="0" w:color="auto"/>
            <w:bottom w:val="single" w:sz="4" w:space="0" w:color="auto"/>
            <w:right w:val="single" w:sz="4" w:space="0" w:color="auto"/>
          </w:tcBorders>
        </w:tcPr>
        <w:p w:rsidR="001D4DFB" w:rsidRPr="00C67444" w:rsidRDefault="00294134" w:rsidP="00C67444">
          <w:pPr>
            <w:jc w:val="both"/>
            <w:rPr>
              <w:rFonts w:ascii="Arial Black" w:hAnsi="Arial Black"/>
              <w:bCs/>
              <w:sz w:val="24"/>
            </w:rPr>
          </w:pPr>
          <w:r>
            <w:rPr>
              <w:rFonts w:ascii="Arial Black" w:hAnsi="Arial Black"/>
              <w:bCs/>
              <w:sz w:val="24"/>
            </w:rPr>
            <w:t>BUDGET UPDATE AND CAPACITY FUND AWARD</w:t>
          </w:r>
        </w:p>
      </w:tc>
    </w:tr>
  </w:tbl>
  <w:p w:rsidR="001D4DFB" w:rsidRDefault="001D4DFB" w:rsidP="001D4DFB">
    <w:pPr>
      <w:pStyle w:val="Header"/>
    </w:pPr>
  </w:p>
  <w:p w:rsidR="00EA79AA" w:rsidRDefault="00EA79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F1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29218F8"/>
    <w:multiLevelType w:val="multilevel"/>
    <w:tmpl w:val="92DA5B56"/>
    <w:styleLink w:val="Style3"/>
    <w:lvl w:ilvl="0">
      <w:start w:val="1"/>
      <w:numFmt w:val="decimal"/>
      <w:lvlText w:val="%1.1"/>
      <w:lvlJc w:val="left"/>
      <w:pPr>
        <w:tabs>
          <w:tab w:val="num" w:pos="360"/>
        </w:tabs>
        <w:ind w:left="360" w:hanging="360"/>
      </w:pPr>
      <w:rPr>
        <w:rFonts w:hint="default"/>
        <w:sz w:val="24"/>
      </w:rPr>
    </w:lvl>
    <w:lvl w:ilvl="1">
      <w:start w:val="1"/>
      <w:numFmt w:val="decimal"/>
      <w:lvlText w:val="%1.1"/>
      <w:lvlJc w:val="left"/>
      <w:pPr>
        <w:tabs>
          <w:tab w:val="num" w:pos="720"/>
        </w:tabs>
        <w:ind w:left="720" w:hanging="360"/>
      </w:pPr>
      <w:rPr>
        <w:rFonts w:hint="default"/>
        <w:sz w:val="24"/>
      </w:rPr>
    </w:lvl>
    <w:lvl w:ilvl="2">
      <w:start w:val="1"/>
      <w:numFmt w:val="decimal"/>
      <w:lvlText w:val="%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2">
    <w:nsid w:val="157B4859"/>
    <w:multiLevelType w:val="hybridMultilevel"/>
    <w:tmpl w:val="6BBEF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B3931"/>
    <w:multiLevelType w:val="multilevel"/>
    <w:tmpl w:val="BEB48D0C"/>
    <w:lvl w:ilvl="0">
      <w:start w:val="2"/>
      <w:numFmt w:val="decimal"/>
      <w:lvlText w:val="%1."/>
      <w:lvlJc w:val="left"/>
      <w:pPr>
        <w:tabs>
          <w:tab w:val="num" w:pos="360"/>
        </w:tabs>
        <w:ind w:left="360" w:hanging="360"/>
      </w:pPr>
      <w:rPr>
        <w:rFonts w:hint="default"/>
        <w:b/>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4">
    <w:nsid w:val="16027DDA"/>
    <w:multiLevelType w:val="multilevel"/>
    <w:tmpl w:val="99980112"/>
    <w:styleLink w:val="CurrentList1"/>
    <w:lvl w:ilvl="0">
      <w:start w:val="1"/>
      <w:numFmt w:val="none"/>
      <w:lvlText w:val="1.2"/>
      <w:lvlJc w:val="left"/>
      <w:pPr>
        <w:tabs>
          <w:tab w:val="num" w:pos="1290"/>
        </w:tabs>
        <w:ind w:left="12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7367B4"/>
    <w:multiLevelType w:val="hybridMultilevel"/>
    <w:tmpl w:val="7CC87E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79251D"/>
    <w:multiLevelType w:val="multilevel"/>
    <w:tmpl w:val="044E61AC"/>
    <w:lvl w:ilvl="0">
      <w:start w:val="1"/>
      <w:numFmt w:val="decimal"/>
      <w:lvlText w:val="%1."/>
      <w:lvlJc w:val="left"/>
      <w:pPr>
        <w:tabs>
          <w:tab w:val="num" w:pos="360"/>
        </w:tabs>
        <w:ind w:left="360" w:hanging="360"/>
      </w:pPr>
      <w:rPr>
        <w:rFonts w:hint="default"/>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7">
    <w:nsid w:val="1E850C81"/>
    <w:multiLevelType w:val="hybridMultilevel"/>
    <w:tmpl w:val="CBF062A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nsid w:val="5D2D5752"/>
    <w:multiLevelType w:val="multilevel"/>
    <w:tmpl w:val="9F32B5EA"/>
    <w:styleLink w:val="Style1"/>
    <w:lvl w:ilvl="0">
      <w:start w:val="1"/>
      <w:numFmt w:val="none"/>
      <w:lvlText w:val="1.1"/>
      <w:lvlJc w:val="left"/>
      <w:pPr>
        <w:tabs>
          <w:tab w:val="num" w:pos="360"/>
        </w:tabs>
        <w:ind w:left="360" w:hanging="360"/>
      </w:pPr>
      <w:rPr>
        <w:rFonts w:hint="default"/>
        <w:sz w:val="24"/>
      </w:rPr>
    </w:lvl>
    <w:lvl w:ilvl="1">
      <w:start w:val="6"/>
      <w:numFmt w:val="decimal"/>
      <w:lvlText w:val="%1.1"/>
      <w:lvlJc w:val="left"/>
      <w:pPr>
        <w:tabs>
          <w:tab w:val="num" w:pos="720"/>
        </w:tabs>
        <w:ind w:left="72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3"/>
      <w:lvlJc w:val="left"/>
      <w:pPr>
        <w:tabs>
          <w:tab w:val="num" w:pos="1800"/>
        </w:tabs>
        <w:ind w:left="1800" w:hanging="720"/>
      </w:pPr>
      <w:rPr>
        <w:rFonts w:hint="default"/>
      </w:rPr>
    </w:lvl>
    <w:lvl w:ilvl="4">
      <w:start w:val="1"/>
      <w:numFmt w:val="decimal"/>
      <w:lvlText w:val="%1.4"/>
      <w:lvlJc w:val="left"/>
      <w:pPr>
        <w:tabs>
          <w:tab w:val="num" w:pos="2520"/>
        </w:tabs>
        <w:ind w:left="2520" w:hanging="1080"/>
      </w:pPr>
      <w:rPr>
        <w:rFonts w:hint="default"/>
      </w:rPr>
    </w:lvl>
    <w:lvl w:ilvl="5">
      <w:start w:val="1"/>
      <w:numFmt w:val="decimal"/>
      <w:lvlText w:val="%1.5"/>
      <w:lvlJc w:val="left"/>
      <w:pPr>
        <w:tabs>
          <w:tab w:val="num" w:pos="2880"/>
        </w:tabs>
        <w:ind w:left="2880" w:hanging="1080"/>
      </w:pPr>
      <w:rPr>
        <w:rFonts w:hint="default"/>
      </w:rPr>
    </w:lvl>
    <w:lvl w:ilvl="6">
      <w:start w:val="1"/>
      <w:numFmt w:val="decimal"/>
      <w:lvlText w:val="%1.%2"/>
      <w:lvlJc w:val="left"/>
      <w:pPr>
        <w:tabs>
          <w:tab w:val="num" w:pos="3600"/>
        </w:tabs>
        <w:ind w:left="3600" w:hanging="1440"/>
      </w:pPr>
      <w:rPr>
        <w:rFonts w:hint="default"/>
      </w:rPr>
    </w:lvl>
    <w:lvl w:ilvl="7">
      <w:start w:val="1"/>
      <w:numFmt w:val="decimal"/>
      <w:lvlText w:val="%1.7"/>
      <w:lvlJc w:val="left"/>
      <w:pPr>
        <w:tabs>
          <w:tab w:val="num" w:pos="3960"/>
        </w:tabs>
        <w:ind w:left="3960" w:hanging="1440"/>
      </w:pPr>
      <w:rPr>
        <w:rFonts w:hint="default"/>
      </w:rPr>
    </w:lvl>
    <w:lvl w:ilvl="8">
      <w:start w:val="1"/>
      <w:numFmt w:val="decimal"/>
      <w:lvlText w:val="%1.8"/>
      <w:lvlJc w:val="left"/>
      <w:pPr>
        <w:tabs>
          <w:tab w:val="num" w:pos="4680"/>
        </w:tabs>
        <w:ind w:left="4680" w:hanging="1800"/>
      </w:pPr>
      <w:rPr>
        <w:rFonts w:hint="default"/>
      </w:rPr>
    </w:lvl>
  </w:abstractNum>
  <w:abstractNum w:abstractNumId="9">
    <w:nsid w:val="64987370"/>
    <w:multiLevelType w:val="multilevel"/>
    <w:tmpl w:val="A28AF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8D50AEC"/>
    <w:multiLevelType w:val="hybridMultilevel"/>
    <w:tmpl w:val="52947298"/>
    <w:lvl w:ilvl="0" w:tplc="E1A042DC">
      <w:start w:val="1"/>
      <w:numFmt w:val="upperLetter"/>
      <w:lvlText w:val="%1-"/>
      <w:lvlJc w:val="left"/>
      <w:pPr>
        <w:ind w:left="927" w:hanging="360"/>
      </w:pPr>
      <w:rPr>
        <w:rFonts w:hint="default"/>
        <w:b/>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7AA0282F"/>
    <w:multiLevelType w:val="hybridMultilevel"/>
    <w:tmpl w:val="82EE5C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C1E6197"/>
    <w:multiLevelType w:val="multilevel"/>
    <w:tmpl w:val="06D6C346"/>
    <w:styleLink w:val="Style2"/>
    <w:lvl w:ilvl="0">
      <w:start w:val="1"/>
      <w:numFmt w:val="none"/>
      <w:lvlText w:val="%11.1"/>
      <w:lvlJc w:val="left"/>
      <w:pPr>
        <w:tabs>
          <w:tab w:val="num" w:pos="720"/>
        </w:tabs>
        <w:ind w:left="720" w:hanging="360"/>
      </w:pPr>
      <w:rPr>
        <w:rFonts w:hint="default"/>
        <w:sz w:val="24"/>
      </w:rPr>
    </w:lvl>
    <w:lvl w:ilvl="1">
      <w:start w:val="1"/>
      <w:numFmt w:val="decimal"/>
      <w:lvlText w:val="%1.1"/>
      <w:lvlJc w:val="left"/>
      <w:pPr>
        <w:tabs>
          <w:tab w:val="num" w:pos="1080"/>
        </w:tabs>
        <w:ind w:left="1080" w:hanging="360"/>
      </w:pPr>
      <w:rPr>
        <w:rFonts w:hint="default"/>
        <w:sz w:val="24"/>
      </w:rPr>
    </w:lvl>
    <w:lvl w:ilvl="2">
      <w:start w:val="1"/>
      <w:numFmt w:val="decimal"/>
      <w:lvlText w:val="%1.2"/>
      <w:lvlJc w:val="left"/>
      <w:pPr>
        <w:tabs>
          <w:tab w:val="num" w:pos="1800"/>
        </w:tabs>
        <w:ind w:left="1440" w:hanging="720"/>
      </w:pPr>
      <w:rPr>
        <w:rFonts w:hint="default"/>
      </w:rPr>
    </w:lvl>
    <w:lvl w:ilvl="3">
      <w:start w:val="1"/>
      <w:numFmt w:val="decimal"/>
      <w:lvlText w:val="%1.3"/>
      <w:lvlJc w:val="left"/>
      <w:pPr>
        <w:tabs>
          <w:tab w:val="num" w:pos="2160"/>
        </w:tabs>
        <w:ind w:left="1440" w:hanging="720"/>
      </w:pPr>
      <w:rPr>
        <w:rFonts w:hint="default"/>
      </w:rPr>
    </w:lvl>
    <w:lvl w:ilvl="4">
      <w:start w:val="1"/>
      <w:numFmt w:val="decimal"/>
      <w:lvlText w:val="%1.4"/>
      <w:lvlJc w:val="left"/>
      <w:pPr>
        <w:tabs>
          <w:tab w:val="num" w:pos="2880"/>
        </w:tabs>
        <w:ind w:left="1800" w:hanging="1080"/>
      </w:pPr>
      <w:rPr>
        <w:rFonts w:hint="default"/>
      </w:rPr>
    </w:lvl>
    <w:lvl w:ilvl="5">
      <w:start w:val="1"/>
      <w:numFmt w:val="decimal"/>
      <w:lvlText w:val="%1.5"/>
      <w:lvlJc w:val="left"/>
      <w:pPr>
        <w:tabs>
          <w:tab w:val="num" w:pos="3240"/>
        </w:tabs>
        <w:ind w:left="1800" w:hanging="1080"/>
      </w:pPr>
      <w:rPr>
        <w:rFonts w:hint="default"/>
      </w:rPr>
    </w:lvl>
    <w:lvl w:ilvl="6">
      <w:start w:val="1"/>
      <w:numFmt w:val="decimal"/>
      <w:lvlText w:val="%1.%2"/>
      <w:lvlJc w:val="left"/>
      <w:pPr>
        <w:tabs>
          <w:tab w:val="num" w:pos="3960"/>
        </w:tabs>
        <w:ind w:left="2160" w:hanging="1440"/>
      </w:pPr>
      <w:rPr>
        <w:rFonts w:hint="default"/>
      </w:rPr>
    </w:lvl>
    <w:lvl w:ilvl="7">
      <w:start w:val="1"/>
      <w:numFmt w:val="decimal"/>
      <w:lvlText w:val="%1.7"/>
      <w:lvlJc w:val="left"/>
      <w:pPr>
        <w:tabs>
          <w:tab w:val="num" w:pos="4320"/>
        </w:tabs>
        <w:ind w:left="2160" w:hanging="1440"/>
      </w:pPr>
      <w:rPr>
        <w:rFonts w:hint="default"/>
      </w:rPr>
    </w:lvl>
    <w:lvl w:ilvl="8">
      <w:start w:val="1"/>
      <w:numFmt w:val="decimal"/>
      <w:lvlText w:val="%1.8"/>
      <w:lvlJc w:val="left"/>
      <w:pPr>
        <w:tabs>
          <w:tab w:val="num" w:pos="5040"/>
        </w:tabs>
        <w:ind w:left="2520" w:hanging="1800"/>
      </w:pPr>
      <w:rPr>
        <w:rFonts w:hint="default"/>
      </w:rPr>
    </w:lvl>
  </w:abstractNum>
  <w:abstractNum w:abstractNumId="13">
    <w:nsid w:val="7EE01A4D"/>
    <w:multiLevelType w:val="hybridMultilevel"/>
    <w:tmpl w:val="528A0626"/>
    <w:lvl w:ilvl="0" w:tplc="4360242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8"/>
  </w:num>
  <w:num w:numId="3">
    <w:abstractNumId w:val="12"/>
  </w:num>
  <w:num w:numId="4">
    <w:abstractNumId w:val="1"/>
  </w:num>
  <w:num w:numId="5">
    <w:abstractNumId w:val="3"/>
  </w:num>
  <w:num w:numId="6">
    <w:abstractNumId w:val="6"/>
  </w:num>
  <w:num w:numId="7">
    <w:abstractNumId w:val="0"/>
  </w:num>
  <w:num w:numId="8">
    <w:abstractNumId w:val="9"/>
  </w:num>
  <w:num w:numId="9">
    <w:abstractNumId w:val="11"/>
  </w:num>
  <w:num w:numId="10">
    <w:abstractNumId w:val="5"/>
  </w:num>
  <w:num w:numId="11">
    <w:abstractNumId w:val="7"/>
  </w:num>
  <w:num w:numId="12">
    <w:abstractNumId w:val="2"/>
  </w:num>
  <w:num w:numId="13">
    <w:abstractNumId w:val="10"/>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9D"/>
    <w:rsid w:val="0000553E"/>
    <w:rsid w:val="00023E1F"/>
    <w:rsid w:val="00051298"/>
    <w:rsid w:val="00072171"/>
    <w:rsid w:val="000727D0"/>
    <w:rsid w:val="0008744F"/>
    <w:rsid w:val="0009536C"/>
    <w:rsid w:val="000977E0"/>
    <w:rsid w:val="000A382C"/>
    <w:rsid w:val="000A3ED8"/>
    <w:rsid w:val="00123DEF"/>
    <w:rsid w:val="001459A0"/>
    <w:rsid w:val="001B13D1"/>
    <w:rsid w:val="001B1A63"/>
    <w:rsid w:val="001B5CD5"/>
    <w:rsid w:val="001C74B7"/>
    <w:rsid w:val="001D4DFB"/>
    <w:rsid w:val="001F0256"/>
    <w:rsid w:val="001F3A1D"/>
    <w:rsid w:val="002056DB"/>
    <w:rsid w:val="00222311"/>
    <w:rsid w:val="00245F23"/>
    <w:rsid w:val="0026764D"/>
    <w:rsid w:val="00294134"/>
    <w:rsid w:val="002B1565"/>
    <w:rsid w:val="002D4F16"/>
    <w:rsid w:val="002E290E"/>
    <w:rsid w:val="00357A3B"/>
    <w:rsid w:val="00371FA5"/>
    <w:rsid w:val="003761A2"/>
    <w:rsid w:val="003D0C4B"/>
    <w:rsid w:val="003D4BB3"/>
    <w:rsid w:val="00436D68"/>
    <w:rsid w:val="00465AB7"/>
    <w:rsid w:val="004A0D6E"/>
    <w:rsid w:val="004B11AC"/>
    <w:rsid w:val="004B68A2"/>
    <w:rsid w:val="004D0471"/>
    <w:rsid w:val="004D370A"/>
    <w:rsid w:val="004E4419"/>
    <w:rsid w:val="005249AD"/>
    <w:rsid w:val="005450F8"/>
    <w:rsid w:val="00550E19"/>
    <w:rsid w:val="00554B1C"/>
    <w:rsid w:val="005564F2"/>
    <w:rsid w:val="005A16D6"/>
    <w:rsid w:val="005C40E6"/>
    <w:rsid w:val="005D10FB"/>
    <w:rsid w:val="005D4F37"/>
    <w:rsid w:val="00603E72"/>
    <w:rsid w:val="006153F7"/>
    <w:rsid w:val="00616A74"/>
    <w:rsid w:val="00630E60"/>
    <w:rsid w:val="006353F1"/>
    <w:rsid w:val="00640E1A"/>
    <w:rsid w:val="00691A29"/>
    <w:rsid w:val="006D7A2F"/>
    <w:rsid w:val="00703249"/>
    <w:rsid w:val="00715C88"/>
    <w:rsid w:val="0072296F"/>
    <w:rsid w:val="00747E5C"/>
    <w:rsid w:val="00792D9F"/>
    <w:rsid w:val="00793415"/>
    <w:rsid w:val="007B6870"/>
    <w:rsid w:val="007C2735"/>
    <w:rsid w:val="007C5149"/>
    <w:rsid w:val="007D14C0"/>
    <w:rsid w:val="007D1685"/>
    <w:rsid w:val="007F2A38"/>
    <w:rsid w:val="00837ED7"/>
    <w:rsid w:val="00850BC0"/>
    <w:rsid w:val="00855B03"/>
    <w:rsid w:val="008778ED"/>
    <w:rsid w:val="00890DDE"/>
    <w:rsid w:val="008A62BC"/>
    <w:rsid w:val="008D39F6"/>
    <w:rsid w:val="008F3B73"/>
    <w:rsid w:val="0092355F"/>
    <w:rsid w:val="00925EA9"/>
    <w:rsid w:val="00980795"/>
    <w:rsid w:val="009871E1"/>
    <w:rsid w:val="009B50E8"/>
    <w:rsid w:val="00A02F74"/>
    <w:rsid w:val="00A35A19"/>
    <w:rsid w:val="00AA590B"/>
    <w:rsid w:val="00AA6DBE"/>
    <w:rsid w:val="00AB4C4C"/>
    <w:rsid w:val="00AE1039"/>
    <w:rsid w:val="00B1230C"/>
    <w:rsid w:val="00B475B5"/>
    <w:rsid w:val="00B6072E"/>
    <w:rsid w:val="00B70E58"/>
    <w:rsid w:val="00B86B62"/>
    <w:rsid w:val="00BA2400"/>
    <w:rsid w:val="00BA2C3F"/>
    <w:rsid w:val="00BC7506"/>
    <w:rsid w:val="00BF3ACC"/>
    <w:rsid w:val="00C12756"/>
    <w:rsid w:val="00C50635"/>
    <w:rsid w:val="00C513FB"/>
    <w:rsid w:val="00C6509A"/>
    <w:rsid w:val="00C67444"/>
    <w:rsid w:val="00C751E4"/>
    <w:rsid w:val="00CC3474"/>
    <w:rsid w:val="00CC64B2"/>
    <w:rsid w:val="00CE01DA"/>
    <w:rsid w:val="00CF379D"/>
    <w:rsid w:val="00D119FC"/>
    <w:rsid w:val="00D13152"/>
    <w:rsid w:val="00D32618"/>
    <w:rsid w:val="00D76291"/>
    <w:rsid w:val="00D9356B"/>
    <w:rsid w:val="00DB0B10"/>
    <w:rsid w:val="00DD5942"/>
    <w:rsid w:val="00E6668B"/>
    <w:rsid w:val="00EA79AA"/>
    <w:rsid w:val="00EB080A"/>
    <w:rsid w:val="00EB6C41"/>
    <w:rsid w:val="00F02B26"/>
    <w:rsid w:val="00F07781"/>
    <w:rsid w:val="00F34AFF"/>
    <w:rsid w:val="00F60241"/>
    <w:rsid w:val="00F61FB9"/>
    <w:rsid w:val="00F97445"/>
    <w:rsid w:val="00FB579D"/>
    <w:rsid w:val="00FC5833"/>
    <w:rsid w:val="00FC6EB9"/>
    <w:rsid w:val="00FF0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7"/>
      </w:numPr>
      <w:outlineLvl w:val="0"/>
    </w:pPr>
    <w:rPr>
      <w:b/>
      <w:sz w:val="24"/>
    </w:rPr>
  </w:style>
  <w:style w:type="paragraph" w:styleId="Heading2">
    <w:name w:val="heading 2"/>
    <w:basedOn w:val="Normal"/>
    <w:next w:val="Normal"/>
    <w:qFormat/>
    <w:pPr>
      <w:keepNext/>
      <w:numPr>
        <w:ilvl w:val="1"/>
        <w:numId w:val="7"/>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B080A"/>
    <w:rPr>
      <w:i/>
      <w:iCs/>
    </w:rPr>
  </w:style>
  <w:style w:type="paragraph" w:customStyle="1" w:styleId="Default">
    <w:name w:val="Default"/>
    <w:rsid w:val="007B687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1D4DFB"/>
    <w:rPr>
      <w:rFonts w:ascii="Arial" w:hAnsi="Arial"/>
      <w:lang w:eastAsia="en-US"/>
    </w:rPr>
  </w:style>
  <w:style w:type="paragraph" w:styleId="BalloonText">
    <w:name w:val="Balloon Text"/>
    <w:basedOn w:val="Normal"/>
    <w:link w:val="BalloonTextChar"/>
    <w:rsid w:val="001D4DFB"/>
    <w:rPr>
      <w:rFonts w:ascii="Tahoma" w:hAnsi="Tahoma" w:cs="Tahoma"/>
      <w:sz w:val="16"/>
      <w:szCs w:val="16"/>
    </w:rPr>
  </w:style>
  <w:style w:type="character" w:customStyle="1" w:styleId="BalloonTextChar">
    <w:name w:val="Balloon Text Char"/>
    <w:basedOn w:val="DefaultParagraphFont"/>
    <w:link w:val="BalloonText"/>
    <w:rsid w:val="001D4DFB"/>
    <w:rPr>
      <w:rFonts w:ascii="Tahoma" w:hAnsi="Tahoma" w:cs="Tahoma"/>
      <w:sz w:val="16"/>
      <w:szCs w:val="16"/>
      <w:lang w:eastAsia="en-US"/>
    </w:rPr>
  </w:style>
  <w:style w:type="paragraph" w:styleId="DocumentMap">
    <w:name w:val="Document Map"/>
    <w:basedOn w:val="Normal"/>
    <w:link w:val="DocumentMapChar"/>
    <w:rsid w:val="001D4DFB"/>
    <w:pPr>
      <w:shd w:val="clear" w:color="auto" w:fill="000080"/>
    </w:pPr>
    <w:rPr>
      <w:rFonts w:ascii="Tahoma" w:hAnsi="Tahoma" w:cs="Tahoma"/>
    </w:rPr>
  </w:style>
  <w:style w:type="character" w:customStyle="1" w:styleId="DocumentMapChar">
    <w:name w:val="Document Map Char"/>
    <w:basedOn w:val="DefaultParagraphFont"/>
    <w:link w:val="DocumentMap"/>
    <w:rsid w:val="001D4DFB"/>
    <w:rPr>
      <w:rFonts w:ascii="Tahoma" w:hAnsi="Tahoma" w:cs="Tahoma"/>
      <w:shd w:val="clear" w:color="auto" w:fill="000080"/>
      <w:lang w:eastAsia="en-US"/>
    </w:rPr>
  </w:style>
  <w:style w:type="paragraph" w:customStyle="1" w:styleId="msolistparagraph0">
    <w:name w:val="msolistparagraph"/>
    <w:basedOn w:val="Normal"/>
    <w:rsid w:val="001D4DFB"/>
    <w:pPr>
      <w:ind w:left="720"/>
    </w:pPr>
    <w:rPr>
      <w:rFonts w:ascii="Times New Roman" w:hAnsi="Times New Roman"/>
      <w:sz w:val="24"/>
      <w:szCs w:val="24"/>
      <w:lang w:eastAsia="en-GB"/>
    </w:rPr>
  </w:style>
  <w:style w:type="paragraph" w:styleId="BodyText">
    <w:name w:val="Body Text"/>
    <w:basedOn w:val="Normal"/>
    <w:link w:val="BodyTextChar"/>
    <w:rsid w:val="001D4DFB"/>
    <w:pPr>
      <w:jc w:val="both"/>
    </w:pPr>
    <w:rPr>
      <w:rFonts w:cs="Arial"/>
      <w:sz w:val="22"/>
      <w:szCs w:val="24"/>
    </w:rPr>
  </w:style>
  <w:style w:type="character" w:customStyle="1" w:styleId="BodyTextChar">
    <w:name w:val="Body Text Char"/>
    <w:basedOn w:val="DefaultParagraphFont"/>
    <w:link w:val="BodyText"/>
    <w:rsid w:val="001D4DFB"/>
    <w:rPr>
      <w:rFonts w:ascii="Arial" w:hAnsi="Arial" w:cs="Arial"/>
      <w:sz w:val="22"/>
      <w:szCs w:val="24"/>
      <w:lang w:eastAsia="en-US"/>
    </w:rPr>
  </w:style>
  <w:style w:type="character" w:styleId="Hyperlink">
    <w:name w:val="Hyperlink"/>
    <w:rsid w:val="001D4DFB"/>
    <w:rPr>
      <w:color w:val="0000FF"/>
      <w:u w:val="single"/>
    </w:rPr>
  </w:style>
  <w:style w:type="character" w:customStyle="1" w:styleId="A1">
    <w:name w:val="A1"/>
    <w:rsid w:val="001D4DFB"/>
    <w:rPr>
      <w:rFonts w:cs="Arial"/>
      <w:color w:val="000000"/>
      <w:sz w:val="20"/>
      <w:szCs w:val="20"/>
    </w:rPr>
  </w:style>
  <w:style w:type="character" w:customStyle="1" w:styleId="sub-title">
    <w:name w:val="sub-title"/>
    <w:basedOn w:val="DefaultParagraphFont"/>
    <w:rsid w:val="001D4DFB"/>
  </w:style>
  <w:style w:type="character" w:styleId="Strong">
    <w:name w:val="Strong"/>
    <w:uiPriority w:val="22"/>
    <w:qFormat/>
    <w:rsid w:val="001D4DFB"/>
    <w:rPr>
      <w:b/>
      <w:bCs/>
    </w:rPr>
  </w:style>
  <w:style w:type="paragraph" w:styleId="PlainText">
    <w:name w:val="Plain Text"/>
    <w:basedOn w:val="Normal"/>
    <w:link w:val="PlainTextChar"/>
    <w:rsid w:val="001D4DFB"/>
    <w:pPr>
      <w:spacing w:before="100" w:beforeAutospacing="1" w:after="100" w:afterAutospacing="1"/>
    </w:pPr>
    <w:rPr>
      <w:rFonts w:ascii="Times New Roman" w:hAnsi="Times New Roman"/>
      <w:sz w:val="24"/>
      <w:szCs w:val="24"/>
      <w:lang w:eastAsia="en-GB"/>
    </w:rPr>
  </w:style>
  <w:style w:type="character" w:customStyle="1" w:styleId="PlainTextChar">
    <w:name w:val="Plain Text Char"/>
    <w:basedOn w:val="DefaultParagraphFont"/>
    <w:link w:val="PlainText"/>
    <w:rsid w:val="001D4DFB"/>
    <w:rPr>
      <w:sz w:val="24"/>
      <w:szCs w:val="24"/>
    </w:rPr>
  </w:style>
  <w:style w:type="paragraph" w:styleId="ListParagraph">
    <w:name w:val="List Paragraph"/>
    <w:basedOn w:val="Normal"/>
    <w:uiPriority w:val="34"/>
    <w:qFormat/>
    <w:rsid w:val="001D4DFB"/>
    <w:pPr>
      <w:spacing w:after="200" w:line="276" w:lineRule="auto"/>
      <w:ind w:left="720"/>
      <w:contextualSpacing/>
    </w:pPr>
    <w:rPr>
      <w:rFonts w:ascii="Calibri" w:hAnsi="Calibri"/>
      <w:sz w:val="22"/>
      <w:szCs w:val="22"/>
    </w:rPr>
  </w:style>
  <w:style w:type="paragraph" w:styleId="NormalWeb">
    <w:name w:val="Normal (Web)"/>
    <w:basedOn w:val="Normal"/>
    <w:rsid w:val="001D4DFB"/>
    <w:rPr>
      <w:rFonts w:ascii="Times New Roman" w:eastAsia="Calibri" w:hAnsi="Times New Roman"/>
      <w:sz w:val="24"/>
      <w:szCs w:val="24"/>
      <w:lang w:eastAsia="en-GB"/>
    </w:rPr>
  </w:style>
  <w:style w:type="paragraph" w:customStyle="1" w:styleId="Pa14">
    <w:name w:val="Pa14"/>
    <w:basedOn w:val="Default"/>
    <w:next w:val="Default"/>
    <w:rsid w:val="001D4DFB"/>
    <w:pPr>
      <w:spacing w:line="241" w:lineRule="atLeast"/>
    </w:pPr>
    <w:rPr>
      <w:rFonts w:ascii="Carton" w:hAnsi="Carton" w:cs="Times New Roman"/>
      <w:color w:val="auto"/>
    </w:rPr>
  </w:style>
  <w:style w:type="character" w:customStyle="1" w:styleId="A7">
    <w:name w:val="A7"/>
    <w:rsid w:val="001D4DFB"/>
    <w:rPr>
      <w:rFonts w:cs="Carton"/>
      <w:color w:val="FFFFFF"/>
      <w:sz w:val="72"/>
      <w:szCs w:val="72"/>
    </w:rPr>
  </w:style>
  <w:style w:type="character" w:customStyle="1" w:styleId="A8">
    <w:name w:val="A8"/>
    <w:rsid w:val="001D4DFB"/>
    <w:rPr>
      <w:rFonts w:cs="Carton"/>
      <w:color w:val="F8F298"/>
      <w:sz w:val="96"/>
      <w:szCs w:val="96"/>
    </w:rPr>
  </w:style>
  <w:style w:type="paragraph" w:customStyle="1" w:styleId="Pa4">
    <w:name w:val="Pa4"/>
    <w:basedOn w:val="Default"/>
    <w:next w:val="Default"/>
    <w:rsid w:val="001D4DFB"/>
    <w:pPr>
      <w:spacing w:after="100" w:line="621" w:lineRule="atLeast"/>
    </w:pPr>
    <w:rPr>
      <w:rFonts w:ascii="Carton" w:hAnsi="Carton" w:cs="Times New Roman"/>
      <w:color w:val="auto"/>
    </w:rPr>
  </w:style>
  <w:style w:type="character" w:customStyle="1" w:styleId="A2">
    <w:name w:val="A2"/>
    <w:rsid w:val="001D4DFB"/>
    <w:rPr>
      <w:rFonts w:cs="Carton"/>
      <w:color w:val="614A27"/>
      <w:sz w:val="50"/>
      <w:szCs w:val="50"/>
    </w:rPr>
  </w:style>
  <w:style w:type="paragraph" w:customStyle="1" w:styleId="Pa7">
    <w:name w:val="Pa7"/>
    <w:basedOn w:val="Default"/>
    <w:next w:val="Default"/>
    <w:rsid w:val="001D4DFB"/>
    <w:pPr>
      <w:spacing w:after="40" w:line="241" w:lineRule="atLeast"/>
    </w:pPr>
    <w:rPr>
      <w:rFonts w:ascii="Carton" w:hAnsi="Carton" w:cs="Times New Roman"/>
      <w:color w:val="auto"/>
    </w:rPr>
  </w:style>
  <w:style w:type="paragraph" w:customStyle="1" w:styleId="Pa8">
    <w:name w:val="Pa8"/>
    <w:basedOn w:val="Default"/>
    <w:next w:val="Default"/>
    <w:rsid w:val="001D4DFB"/>
    <w:pPr>
      <w:spacing w:line="241" w:lineRule="atLeast"/>
    </w:pPr>
    <w:rPr>
      <w:rFonts w:ascii="Carton" w:hAnsi="Carton" w:cs="Times New Roman"/>
      <w:color w:val="auto"/>
    </w:rPr>
  </w:style>
  <w:style w:type="character" w:customStyle="1" w:styleId="A5">
    <w:name w:val="A5"/>
    <w:rsid w:val="001D4DFB"/>
    <w:rPr>
      <w:rFonts w:ascii="Myriad Pro" w:hAnsi="Myriad Pro" w:cs="Myriad Pro"/>
      <w:color w:val="221E1F"/>
      <w:sz w:val="20"/>
      <w:szCs w:val="20"/>
    </w:rPr>
  </w:style>
  <w:style w:type="character" w:customStyle="1" w:styleId="A4">
    <w:name w:val="A4"/>
    <w:rsid w:val="001D4DFB"/>
    <w:rPr>
      <w:rFonts w:ascii="Wingdings 3" w:hAnsi="Wingdings 3" w:cs="Wingdings 3"/>
      <w:color w:val="A8C783"/>
      <w:sz w:val="20"/>
      <w:szCs w:val="20"/>
    </w:rPr>
  </w:style>
  <w:style w:type="paragraph" w:customStyle="1" w:styleId="Pa3">
    <w:name w:val="Pa3"/>
    <w:basedOn w:val="Default"/>
    <w:next w:val="Default"/>
    <w:rsid w:val="001D4DFB"/>
    <w:pPr>
      <w:spacing w:line="621" w:lineRule="atLeast"/>
    </w:pPr>
    <w:rPr>
      <w:rFonts w:ascii="Carton" w:hAnsi="Carton" w:cs="Times New Roman"/>
      <w:color w:val="auto"/>
    </w:rPr>
  </w:style>
  <w:style w:type="paragraph" w:customStyle="1" w:styleId="Pa10">
    <w:name w:val="Pa10"/>
    <w:basedOn w:val="Default"/>
    <w:next w:val="Default"/>
    <w:rsid w:val="001D4DFB"/>
    <w:pPr>
      <w:spacing w:after="100" w:line="201" w:lineRule="atLeast"/>
    </w:pPr>
    <w:rPr>
      <w:rFonts w:ascii="Carton" w:hAnsi="Carton" w:cs="Times New Roman"/>
      <w:color w:val="auto"/>
    </w:rPr>
  </w:style>
  <w:style w:type="paragraph" w:customStyle="1" w:styleId="Pa11">
    <w:name w:val="Pa11"/>
    <w:basedOn w:val="Default"/>
    <w:next w:val="Default"/>
    <w:rsid w:val="001D4DFB"/>
    <w:pPr>
      <w:spacing w:after="100" w:line="201" w:lineRule="atLeast"/>
    </w:pPr>
    <w:rPr>
      <w:rFonts w:ascii="Carton" w:hAnsi="Carton" w:cs="Times New Roman"/>
      <w:color w:val="auto"/>
    </w:rPr>
  </w:style>
  <w:style w:type="character" w:customStyle="1" w:styleId="A6">
    <w:name w:val="A6"/>
    <w:rsid w:val="001D4DFB"/>
    <w:rPr>
      <w:rFonts w:ascii="Myriad Pro" w:hAnsi="Myriad Pro" w:cs="Myriad Pro"/>
      <w:i/>
      <w:iCs/>
      <w:color w:val="221E1F"/>
      <w:sz w:val="18"/>
      <w:szCs w:val="18"/>
    </w:rPr>
  </w:style>
  <w:style w:type="character" w:customStyle="1" w:styleId="mchah">
    <w:name w:val="mchah"/>
    <w:semiHidden/>
    <w:rsid w:val="001D4DFB"/>
    <w:rPr>
      <w:rFonts w:ascii="Arial" w:hAnsi="Arial" w:cs="Arial"/>
      <w:b w:val="0"/>
      <w:bCs w:val="0"/>
      <w:i w:val="0"/>
      <w:iCs w:val="0"/>
      <w:strike w:val="0"/>
      <w:color w:val="auto"/>
      <w:sz w:val="24"/>
      <w:szCs w:val="24"/>
      <w:u w:val="none"/>
    </w:rPr>
  </w:style>
  <w:style w:type="paragraph" w:customStyle="1" w:styleId="textaligncenter">
    <w:name w:val="text_align_center"/>
    <w:basedOn w:val="Normal"/>
    <w:rsid w:val="001D4DFB"/>
    <w:pPr>
      <w:spacing w:before="100" w:beforeAutospacing="1" w:after="100" w:afterAutospacing="1"/>
    </w:pPr>
    <w:rPr>
      <w:rFonts w:ascii="Times New Roman" w:hAnsi="Times New Roman"/>
      <w:sz w:val="24"/>
      <w:szCs w:val="24"/>
      <w:lang w:eastAsia="en-GB"/>
    </w:rPr>
  </w:style>
  <w:style w:type="paragraph" w:customStyle="1" w:styleId="textalignleft">
    <w:name w:val="text_align_left"/>
    <w:basedOn w:val="Normal"/>
    <w:rsid w:val="001D4DFB"/>
    <w:pPr>
      <w:spacing w:before="100" w:beforeAutospacing="1" w:after="100" w:afterAutospacing="1"/>
    </w:pPr>
    <w:rPr>
      <w:rFonts w:ascii="Times New Roman" w:hAnsi="Times New Roman"/>
      <w:sz w:val="24"/>
      <w:szCs w:val="24"/>
      <w:lang w:eastAsia="en-GB"/>
    </w:rPr>
  </w:style>
  <w:style w:type="character" w:customStyle="1" w:styleId="apple-tab-span">
    <w:name w:val="apple-tab-span"/>
    <w:rsid w:val="001D4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7"/>
      </w:numPr>
      <w:outlineLvl w:val="0"/>
    </w:pPr>
    <w:rPr>
      <w:b/>
      <w:sz w:val="24"/>
    </w:rPr>
  </w:style>
  <w:style w:type="paragraph" w:styleId="Heading2">
    <w:name w:val="heading 2"/>
    <w:basedOn w:val="Normal"/>
    <w:next w:val="Normal"/>
    <w:qFormat/>
    <w:pPr>
      <w:keepNext/>
      <w:numPr>
        <w:ilvl w:val="1"/>
        <w:numId w:val="7"/>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B080A"/>
    <w:rPr>
      <w:i/>
      <w:iCs/>
    </w:rPr>
  </w:style>
  <w:style w:type="paragraph" w:customStyle="1" w:styleId="Default">
    <w:name w:val="Default"/>
    <w:rsid w:val="007B687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1D4DFB"/>
    <w:rPr>
      <w:rFonts w:ascii="Arial" w:hAnsi="Arial"/>
      <w:lang w:eastAsia="en-US"/>
    </w:rPr>
  </w:style>
  <w:style w:type="paragraph" w:styleId="BalloonText">
    <w:name w:val="Balloon Text"/>
    <w:basedOn w:val="Normal"/>
    <w:link w:val="BalloonTextChar"/>
    <w:rsid w:val="001D4DFB"/>
    <w:rPr>
      <w:rFonts w:ascii="Tahoma" w:hAnsi="Tahoma" w:cs="Tahoma"/>
      <w:sz w:val="16"/>
      <w:szCs w:val="16"/>
    </w:rPr>
  </w:style>
  <w:style w:type="character" w:customStyle="1" w:styleId="BalloonTextChar">
    <w:name w:val="Balloon Text Char"/>
    <w:basedOn w:val="DefaultParagraphFont"/>
    <w:link w:val="BalloonText"/>
    <w:rsid w:val="001D4DFB"/>
    <w:rPr>
      <w:rFonts w:ascii="Tahoma" w:hAnsi="Tahoma" w:cs="Tahoma"/>
      <w:sz w:val="16"/>
      <w:szCs w:val="16"/>
      <w:lang w:eastAsia="en-US"/>
    </w:rPr>
  </w:style>
  <w:style w:type="paragraph" w:styleId="DocumentMap">
    <w:name w:val="Document Map"/>
    <w:basedOn w:val="Normal"/>
    <w:link w:val="DocumentMapChar"/>
    <w:rsid w:val="001D4DFB"/>
    <w:pPr>
      <w:shd w:val="clear" w:color="auto" w:fill="000080"/>
    </w:pPr>
    <w:rPr>
      <w:rFonts w:ascii="Tahoma" w:hAnsi="Tahoma" w:cs="Tahoma"/>
    </w:rPr>
  </w:style>
  <w:style w:type="character" w:customStyle="1" w:styleId="DocumentMapChar">
    <w:name w:val="Document Map Char"/>
    <w:basedOn w:val="DefaultParagraphFont"/>
    <w:link w:val="DocumentMap"/>
    <w:rsid w:val="001D4DFB"/>
    <w:rPr>
      <w:rFonts w:ascii="Tahoma" w:hAnsi="Tahoma" w:cs="Tahoma"/>
      <w:shd w:val="clear" w:color="auto" w:fill="000080"/>
      <w:lang w:eastAsia="en-US"/>
    </w:rPr>
  </w:style>
  <w:style w:type="paragraph" w:customStyle="1" w:styleId="msolistparagraph0">
    <w:name w:val="msolistparagraph"/>
    <w:basedOn w:val="Normal"/>
    <w:rsid w:val="001D4DFB"/>
    <w:pPr>
      <w:ind w:left="720"/>
    </w:pPr>
    <w:rPr>
      <w:rFonts w:ascii="Times New Roman" w:hAnsi="Times New Roman"/>
      <w:sz w:val="24"/>
      <w:szCs w:val="24"/>
      <w:lang w:eastAsia="en-GB"/>
    </w:rPr>
  </w:style>
  <w:style w:type="paragraph" w:styleId="BodyText">
    <w:name w:val="Body Text"/>
    <w:basedOn w:val="Normal"/>
    <w:link w:val="BodyTextChar"/>
    <w:rsid w:val="001D4DFB"/>
    <w:pPr>
      <w:jc w:val="both"/>
    </w:pPr>
    <w:rPr>
      <w:rFonts w:cs="Arial"/>
      <w:sz w:val="22"/>
      <w:szCs w:val="24"/>
    </w:rPr>
  </w:style>
  <w:style w:type="character" w:customStyle="1" w:styleId="BodyTextChar">
    <w:name w:val="Body Text Char"/>
    <w:basedOn w:val="DefaultParagraphFont"/>
    <w:link w:val="BodyText"/>
    <w:rsid w:val="001D4DFB"/>
    <w:rPr>
      <w:rFonts w:ascii="Arial" w:hAnsi="Arial" w:cs="Arial"/>
      <w:sz w:val="22"/>
      <w:szCs w:val="24"/>
      <w:lang w:eastAsia="en-US"/>
    </w:rPr>
  </w:style>
  <w:style w:type="character" w:styleId="Hyperlink">
    <w:name w:val="Hyperlink"/>
    <w:rsid w:val="001D4DFB"/>
    <w:rPr>
      <w:color w:val="0000FF"/>
      <w:u w:val="single"/>
    </w:rPr>
  </w:style>
  <w:style w:type="character" w:customStyle="1" w:styleId="A1">
    <w:name w:val="A1"/>
    <w:rsid w:val="001D4DFB"/>
    <w:rPr>
      <w:rFonts w:cs="Arial"/>
      <w:color w:val="000000"/>
      <w:sz w:val="20"/>
      <w:szCs w:val="20"/>
    </w:rPr>
  </w:style>
  <w:style w:type="character" w:customStyle="1" w:styleId="sub-title">
    <w:name w:val="sub-title"/>
    <w:basedOn w:val="DefaultParagraphFont"/>
    <w:rsid w:val="001D4DFB"/>
  </w:style>
  <w:style w:type="character" w:styleId="Strong">
    <w:name w:val="Strong"/>
    <w:uiPriority w:val="22"/>
    <w:qFormat/>
    <w:rsid w:val="001D4DFB"/>
    <w:rPr>
      <w:b/>
      <w:bCs/>
    </w:rPr>
  </w:style>
  <w:style w:type="paragraph" w:styleId="PlainText">
    <w:name w:val="Plain Text"/>
    <w:basedOn w:val="Normal"/>
    <w:link w:val="PlainTextChar"/>
    <w:rsid w:val="001D4DFB"/>
    <w:pPr>
      <w:spacing w:before="100" w:beforeAutospacing="1" w:after="100" w:afterAutospacing="1"/>
    </w:pPr>
    <w:rPr>
      <w:rFonts w:ascii="Times New Roman" w:hAnsi="Times New Roman"/>
      <w:sz w:val="24"/>
      <w:szCs w:val="24"/>
      <w:lang w:eastAsia="en-GB"/>
    </w:rPr>
  </w:style>
  <w:style w:type="character" w:customStyle="1" w:styleId="PlainTextChar">
    <w:name w:val="Plain Text Char"/>
    <w:basedOn w:val="DefaultParagraphFont"/>
    <w:link w:val="PlainText"/>
    <w:rsid w:val="001D4DFB"/>
    <w:rPr>
      <w:sz w:val="24"/>
      <w:szCs w:val="24"/>
    </w:rPr>
  </w:style>
  <w:style w:type="paragraph" w:styleId="ListParagraph">
    <w:name w:val="List Paragraph"/>
    <w:basedOn w:val="Normal"/>
    <w:uiPriority w:val="34"/>
    <w:qFormat/>
    <w:rsid w:val="001D4DFB"/>
    <w:pPr>
      <w:spacing w:after="200" w:line="276" w:lineRule="auto"/>
      <w:ind w:left="720"/>
      <w:contextualSpacing/>
    </w:pPr>
    <w:rPr>
      <w:rFonts w:ascii="Calibri" w:hAnsi="Calibri"/>
      <w:sz w:val="22"/>
      <w:szCs w:val="22"/>
    </w:rPr>
  </w:style>
  <w:style w:type="paragraph" w:styleId="NormalWeb">
    <w:name w:val="Normal (Web)"/>
    <w:basedOn w:val="Normal"/>
    <w:rsid w:val="001D4DFB"/>
    <w:rPr>
      <w:rFonts w:ascii="Times New Roman" w:eastAsia="Calibri" w:hAnsi="Times New Roman"/>
      <w:sz w:val="24"/>
      <w:szCs w:val="24"/>
      <w:lang w:eastAsia="en-GB"/>
    </w:rPr>
  </w:style>
  <w:style w:type="paragraph" w:customStyle="1" w:styleId="Pa14">
    <w:name w:val="Pa14"/>
    <w:basedOn w:val="Default"/>
    <w:next w:val="Default"/>
    <w:rsid w:val="001D4DFB"/>
    <w:pPr>
      <w:spacing w:line="241" w:lineRule="atLeast"/>
    </w:pPr>
    <w:rPr>
      <w:rFonts w:ascii="Carton" w:hAnsi="Carton" w:cs="Times New Roman"/>
      <w:color w:val="auto"/>
    </w:rPr>
  </w:style>
  <w:style w:type="character" w:customStyle="1" w:styleId="A7">
    <w:name w:val="A7"/>
    <w:rsid w:val="001D4DFB"/>
    <w:rPr>
      <w:rFonts w:cs="Carton"/>
      <w:color w:val="FFFFFF"/>
      <w:sz w:val="72"/>
      <w:szCs w:val="72"/>
    </w:rPr>
  </w:style>
  <w:style w:type="character" w:customStyle="1" w:styleId="A8">
    <w:name w:val="A8"/>
    <w:rsid w:val="001D4DFB"/>
    <w:rPr>
      <w:rFonts w:cs="Carton"/>
      <w:color w:val="F8F298"/>
      <w:sz w:val="96"/>
      <w:szCs w:val="96"/>
    </w:rPr>
  </w:style>
  <w:style w:type="paragraph" w:customStyle="1" w:styleId="Pa4">
    <w:name w:val="Pa4"/>
    <w:basedOn w:val="Default"/>
    <w:next w:val="Default"/>
    <w:rsid w:val="001D4DFB"/>
    <w:pPr>
      <w:spacing w:after="100" w:line="621" w:lineRule="atLeast"/>
    </w:pPr>
    <w:rPr>
      <w:rFonts w:ascii="Carton" w:hAnsi="Carton" w:cs="Times New Roman"/>
      <w:color w:val="auto"/>
    </w:rPr>
  </w:style>
  <w:style w:type="character" w:customStyle="1" w:styleId="A2">
    <w:name w:val="A2"/>
    <w:rsid w:val="001D4DFB"/>
    <w:rPr>
      <w:rFonts w:cs="Carton"/>
      <w:color w:val="614A27"/>
      <w:sz w:val="50"/>
      <w:szCs w:val="50"/>
    </w:rPr>
  </w:style>
  <w:style w:type="paragraph" w:customStyle="1" w:styleId="Pa7">
    <w:name w:val="Pa7"/>
    <w:basedOn w:val="Default"/>
    <w:next w:val="Default"/>
    <w:rsid w:val="001D4DFB"/>
    <w:pPr>
      <w:spacing w:after="40" w:line="241" w:lineRule="atLeast"/>
    </w:pPr>
    <w:rPr>
      <w:rFonts w:ascii="Carton" w:hAnsi="Carton" w:cs="Times New Roman"/>
      <w:color w:val="auto"/>
    </w:rPr>
  </w:style>
  <w:style w:type="paragraph" w:customStyle="1" w:styleId="Pa8">
    <w:name w:val="Pa8"/>
    <w:basedOn w:val="Default"/>
    <w:next w:val="Default"/>
    <w:rsid w:val="001D4DFB"/>
    <w:pPr>
      <w:spacing w:line="241" w:lineRule="atLeast"/>
    </w:pPr>
    <w:rPr>
      <w:rFonts w:ascii="Carton" w:hAnsi="Carton" w:cs="Times New Roman"/>
      <w:color w:val="auto"/>
    </w:rPr>
  </w:style>
  <w:style w:type="character" w:customStyle="1" w:styleId="A5">
    <w:name w:val="A5"/>
    <w:rsid w:val="001D4DFB"/>
    <w:rPr>
      <w:rFonts w:ascii="Myriad Pro" w:hAnsi="Myriad Pro" w:cs="Myriad Pro"/>
      <w:color w:val="221E1F"/>
      <w:sz w:val="20"/>
      <w:szCs w:val="20"/>
    </w:rPr>
  </w:style>
  <w:style w:type="character" w:customStyle="1" w:styleId="A4">
    <w:name w:val="A4"/>
    <w:rsid w:val="001D4DFB"/>
    <w:rPr>
      <w:rFonts w:ascii="Wingdings 3" w:hAnsi="Wingdings 3" w:cs="Wingdings 3"/>
      <w:color w:val="A8C783"/>
      <w:sz w:val="20"/>
      <w:szCs w:val="20"/>
    </w:rPr>
  </w:style>
  <w:style w:type="paragraph" w:customStyle="1" w:styleId="Pa3">
    <w:name w:val="Pa3"/>
    <w:basedOn w:val="Default"/>
    <w:next w:val="Default"/>
    <w:rsid w:val="001D4DFB"/>
    <w:pPr>
      <w:spacing w:line="621" w:lineRule="atLeast"/>
    </w:pPr>
    <w:rPr>
      <w:rFonts w:ascii="Carton" w:hAnsi="Carton" w:cs="Times New Roman"/>
      <w:color w:val="auto"/>
    </w:rPr>
  </w:style>
  <w:style w:type="paragraph" w:customStyle="1" w:styleId="Pa10">
    <w:name w:val="Pa10"/>
    <w:basedOn w:val="Default"/>
    <w:next w:val="Default"/>
    <w:rsid w:val="001D4DFB"/>
    <w:pPr>
      <w:spacing w:after="100" w:line="201" w:lineRule="atLeast"/>
    </w:pPr>
    <w:rPr>
      <w:rFonts w:ascii="Carton" w:hAnsi="Carton" w:cs="Times New Roman"/>
      <w:color w:val="auto"/>
    </w:rPr>
  </w:style>
  <w:style w:type="paragraph" w:customStyle="1" w:styleId="Pa11">
    <w:name w:val="Pa11"/>
    <w:basedOn w:val="Default"/>
    <w:next w:val="Default"/>
    <w:rsid w:val="001D4DFB"/>
    <w:pPr>
      <w:spacing w:after="100" w:line="201" w:lineRule="atLeast"/>
    </w:pPr>
    <w:rPr>
      <w:rFonts w:ascii="Carton" w:hAnsi="Carton" w:cs="Times New Roman"/>
      <w:color w:val="auto"/>
    </w:rPr>
  </w:style>
  <w:style w:type="character" w:customStyle="1" w:styleId="A6">
    <w:name w:val="A6"/>
    <w:rsid w:val="001D4DFB"/>
    <w:rPr>
      <w:rFonts w:ascii="Myriad Pro" w:hAnsi="Myriad Pro" w:cs="Myriad Pro"/>
      <w:i/>
      <w:iCs/>
      <w:color w:val="221E1F"/>
      <w:sz w:val="18"/>
      <w:szCs w:val="18"/>
    </w:rPr>
  </w:style>
  <w:style w:type="character" w:customStyle="1" w:styleId="mchah">
    <w:name w:val="mchah"/>
    <w:semiHidden/>
    <w:rsid w:val="001D4DFB"/>
    <w:rPr>
      <w:rFonts w:ascii="Arial" w:hAnsi="Arial" w:cs="Arial"/>
      <w:b w:val="0"/>
      <w:bCs w:val="0"/>
      <w:i w:val="0"/>
      <w:iCs w:val="0"/>
      <w:strike w:val="0"/>
      <w:color w:val="auto"/>
      <w:sz w:val="24"/>
      <w:szCs w:val="24"/>
      <w:u w:val="none"/>
    </w:rPr>
  </w:style>
  <w:style w:type="paragraph" w:customStyle="1" w:styleId="textaligncenter">
    <w:name w:val="text_align_center"/>
    <w:basedOn w:val="Normal"/>
    <w:rsid w:val="001D4DFB"/>
    <w:pPr>
      <w:spacing w:before="100" w:beforeAutospacing="1" w:after="100" w:afterAutospacing="1"/>
    </w:pPr>
    <w:rPr>
      <w:rFonts w:ascii="Times New Roman" w:hAnsi="Times New Roman"/>
      <w:sz w:val="24"/>
      <w:szCs w:val="24"/>
      <w:lang w:eastAsia="en-GB"/>
    </w:rPr>
  </w:style>
  <w:style w:type="paragraph" w:customStyle="1" w:styleId="textalignleft">
    <w:name w:val="text_align_left"/>
    <w:basedOn w:val="Normal"/>
    <w:rsid w:val="001D4DFB"/>
    <w:pPr>
      <w:spacing w:before="100" w:beforeAutospacing="1" w:after="100" w:afterAutospacing="1"/>
    </w:pPr>
    <w:rPr>
      <w:rFonts w:ascii="Times New Roman" w:hAnsi="Times New Roman"/>
      <w:sz w:val="24"/>
      <w:szCs w:val="24"/>
      <w:lang w:eastAsia="en-GB"/>
    </w:rPr>
  </w:style>
  <w:style w:type="character" w:customStyle="1" w:styleId="apple-tab-span">
    <w:name w:val="apple-tab-span"/>
    <w:rsid w:val="001D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emocratic%20Keep\Council%20&amp;%20Committees\Executive\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8077-6F7B-442C-A139-EED6AB47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1</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REPORT TITLE</vt:lpstr>
    </vt:vector>
  </TitlesOfParts>
  <Company>Ketterng Borough Council</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Claire Davies</dc:creator>
  <cp:lastModifiedBy>Amy Nimmo</cp:lastModifiedBy>
  <cp:revision>2</cp:revision>
  <cp:lastPrinted>2015-10-14T13:28:00Z</cp:lastPrinted>
  <dcterms:created xsi:type="dcterms:W3CDTF">2016-08-01T14:28:00Z</dcterms:created>
  <dcterms:modified xsi:type="dcterms:W3CDTF">2016-08-01T14:28:00Z</dcterms:modified>
</cp:coreProperties>
</file>